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94" w:rsidRDefault="00707195" w:rsidP="001034D0">
      <w:pPr>
        <w:jc w:val="center"/>
      </w:pPr>
      <w:r>
        <w:rPr>
          <w:noProof/>
          <w:lang w:eastAsia="pt-BR"/>
        </w:rPr>
        <w:drawing>
          <wp:inline distT="0" distB="0" distL="0" distR="0" wp14:anchorId="7945370A" wp14:editId="6F5D7CC8">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707195" w:rsidRDefault="00707195"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 xml:space="preserve">Escola da Magistratura do Estado do Rio de Janeiro </w:t>
      </w:r>
      <w:r w:rsidR="001034D0">
        <w:rPr>
          <w:rFonts w:ascii="Arial" w:eastAsia="Times New Roman" w:hAnsi="Arial" w:cs="Arial"/>
          <w:b/>
          <w:noProof/>
          <w:color w:val="222E72"/>
          <w:sz w:val="24"/>
          <w:szCs w:val="24"/>
          <w:lang w:eastAsia="pt-BR"/>
        </w:rPr>
        <w:t>–</w:t>
      </w:r>
      <w:r>
        <w:rPr>
          <w:rFonts w:ascii="Arial" w:eastAsia="Times New Roman" w:hAnsi="Arial" w:cs="Arial"/>
          <w:b/>
          <w:noProof/>
          <w:color w:val="222E72"/>
          <w:sz w:val="24"/>
          <w:szCs w:val="24"/>
          <w:lang w:eastAsia="pt-BR"/>
        </w:rPr>
        <w:t xml:space="preserve"> EMERJ</w:t>
      </w:r>
    </w:p>
    <w:p w:rsidR="001034D0" w:rsidRDefault="001034D0"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 do Tribunal de Justiça do Estado do Rio de Janeiro</w:t>
      </w:r>
    </w:p>
    <w:p w:rsidR="00C84746" w:rsidRDefault="00C84746" w:rsidP="00A96694">
      <w:pPr>
        <w:tabs>
          <w:tab w:val="center" w:pos="4419"/>
          <w:tab w:val="right" w:pos="8838"/>
        </w:tabs>
        <w:spacing w:after="0" w:line="240" w:lineRule="auto"/>
        <w:jc w:val="center"/>
        <w:rPr>
          <w:noProof/>
          <w:lang w:eastAsia="pt-BR"/>
        </w:rPr>
      </w:pPr>
    </w:p>
    <w:p w:rsidR="001034D0" w:rsidRDefault="001034D0" w:rsidP="0036611A">
      <w:pPr>
        <w:tabs>
          <w:tab w:val="center" w:pos="4419"/>
          <w:tab w:val="right" w:pos="8838"/>
        </w:tabs>
        <w:spacing w:after="0" w:line="240" w:lineRule="auto"/>
        <w:jc w:val="center"/>
        <w:rPr>
          <w:b/>
          <w:noProof/>
          <w:color w:val="FF0000"/>
          <w:lang w:eastAsia="pt-BR"/>
        </w:rPr>
      </w:pPr>
    </w:p>
    <w:p w:rsidR="0036611A" w:rsidRDefault="00C01515" w:rsidP="0036611A">
      <w:pPr>
        <w:tabs>
          <w:tab w:val="center" w:pos="4419"/>
          <w:tab w:val="right" w:pos="8838"/>
        </w:tabs>
        <w:spacing w:after="0" w:line="240" w:lineRule="auto"/>
        <w:jc w:val="center"/>
        <w:rPr>
          <w:b/>
          <w:noProof/>
          <w:color w:val="FF0000"/>
          <w:lang w:eastAsia="pt-BR"/>
        </w:rPr>
      </w:pPr>
      <w:r>
        <w:rPr>
          <w:b/>
          <w:noProof/>
          <w:color w:val="FF0000"/>
          <w:lang w:eastAsia="pt-BR"/>
        </w:rPr>
        <w:t>ANEX</w:t>
      </w:r>
      <w:r w:rsidR="00823B74">
        <w:rPr>
          <w:b/>
          <w:noProof/>
          <w:color w:val="FF0000"/>
          <w:lang w:eastAsia="pt-BR"/>
        </w:rPr>
        <w:t>O</w:t>
      </w:r>
      <w:r w:rsidR="00457407">
        <w:rPr>
          <w:b/>
          <w:noProof/>
          <w:color w:val="FF0000"/>
          <w:lang w:eastAsia="pt-BR"/>
        </w:rPr>
        <w:t xml:space="preserve"> </w:t>
      </w:r>
    </w:p>
    <w:p w:rsidR="00457407" w:rsidRPr="004B772A" w:rsidRDefault="00457407" w:rsidP="0036611A">
      <w:pPr>
        <w:tabs>
          <w:tab w:val="center" w:pos="4419"/>
          <w:tab w:val="right" w:pos="8838"/>
        </w:tabs>
        <w:spacing w:after="0" w:line="240" w:lineRule="auto"/>
        <w:jc w:val="center"/>
        <w:rPr>
          <w:b/>
          <w:noProof/>
          <w:color w:val="FF0000"/>
          <w:lang w:eastAsia="pt-BR"/>
        </w:rPr>
      </w:pPr>
    </w:p>
    <w:p w:rsidR="003A2372" w:rsidRDefault="003A2372" w:rsidP="0036611A">
      <w:pPr>
        <w:tabs>
          <w:tab w:val="center" w:pos="4419"/>
          <w:tab w:val="right" w:pos="8838"/>
        </w:tabs>
        <w:spacing w:after="0" w:line="240" w:lineRule="auto"/>
        <w:jc w:val="both"/>
        <w:rPr>
          <w:b/>
          <w:noProof/>
          <w:lang w:eastAsia="pt-BR"/>
        </w:rPr>
      </w:pPr>
    </w:p>
    <w:p w:rsidR="003A2372" w:rsidRDefault="00BE1D40" w:rsidP="00823B74">
      <w:pPr>
        <w:tabs>
          <w:tab w:val="center" w:pos="4419"/>
          <w:tab w:val="right" w:pos="8838"/>
        </w:tabs>
        <w:spacing w:after="0" w:line="240" w:lineRule="auto"/>
        <w:jc w:val="center"/>
        <w:rPr>
          <w:b/>
          <w:noProof/>
          <w:lang w:eastAsia="pt-BR"/>
        </w:rPr>
      </w:pPr>
      <w:r>
        <w:rPr>
          <w:b/>
          <w:noProof/>
          <w:lang w:eastAsia="pt-BR"/>
        </w:rPr>
        <w:t>RES</w:t>
      </w:r>
      <w:r w:rsidR="00457407">
        <w:rPr>
          <w:b/>
          <w:noProof/>
          <w:lang w:eastAsia="pt-BR"/>
        </w:rPr>
        <w:t>O</w:t>
      </w:r>
      <w:r>
        <w:rPr>
          <w:b/>
          <w:noProof/>
          <w:lang w:eastAsia="pt-BR"/>
        </w:rPr>
        <w:t>LUÇÃO TJ/OE nº 5/2018</w:t>
      </w:r>
    </w:p>
    <w:p w:rsidR="00BE1D40" w:rsidRDefault="00BE1D40" w:rsidP="00823B74">
      <w:pPr>
        <w:tabs>
          <w:tab w:val="center" w:pos="4419"/>
          <w:tab w:val="right" w:pos="8838"/>
        </w:tabs>
        <w:spacing w:after="0" w:line="240" w:lineRule="auto"/>
        <w:jc w:val="center"/>
        <w:rPr>
          <w:b/>
          <w:noProof/>
          <w:lang w:eastAsia="pt-BR"/>
        </w:rPr>
      </w:pPr>
    </w:p>
    <w:p w:rsidR="003A2372" w:rsidRDefault="003A2372" w:rsidP="00E436F6">
      <w:pPr>
        <w:tabs>
          <w:tab w:val="center" w:pos="4419"/>
          <w:tab w:val="right" w:pos="8838"/>
        </w:tabs>
        <w:spacing w:after="0" w:line="240" w:lineRule="auto"/>
        <w:jc w:val="center"/>
        <w:rPr>
          <w:b/>
          <w:noProof/>
          <w:lang w:eastAsia="pt-BR"/>
        </w:rPr>
      </w:pPr>
    </w:p>
    <w:p w:rsidR="00BE1D40" w:rsidRPr="00BE1D40" w:rsidRDefault="00BE1D40" w:rsidP="00BE1D40">
      <w:pPr>
        <w:tabs>
          <w:tab w:val="center" w:pos="4419"/>
          <w:tab w:val="right" w:pos="8838"/>
        </w:tabs>
        <w:spacing w:after="0" w:line="240" w:lineRule="auto"/>
        <w:ind w:left="3540"/>
        <w:jc w:val="both"/>
        <w:rPr>
          <w:b/>
          <w:noProof/>
          <w:lang w:eastAsia="pt-BR"/>
        </w:rPr>
      </w:pPr>
      <w:r w:rsidRPr="00BE1D40">
        <w:rPr>
          <w:b/>
          <w:noProof/>
          <w:lang w:eastAsia="pt-BR"/>
        </w:rPr>
        <w:t>Aprova o Plano Estratégico, o Plano de Ação Governamental (PAG), a Matriz de Indicadores Estratégicos e o Plano de Com</w:t>
      </w:r>
      <w:r>
        <w:rPr>
          <w:b/>
          <w:noProof/>
          <w:lang w:eastAsia="pt-BR"/>
        </w:rPr>
        <w:t xml:space="preserve">unicação da Estratégia do Poder </w:t>
      </w:r>
      <w:r w:rsidRPr="00BE1D40">
        <w:rPr>
          <w:b/>
          <w:noProof/>
          <w:lang w:eastAsia="pt-BR"/>
        </w:rPr>
        <w:t>Judiciário do Estado do Rio de Janeiro (PJERJ) para o biênio 2017/2018.</w:t>
      </w:r>
    </w:p>
    <w:p w:rsidR="00E436F6" w:rsidRDefault="00E436F6" w:rsidP="00BE1D40">
      <w:pPr>
        <w:tabs>
          <w:tab w:val="center" w:pos="4419"/>
          <w:tab w:val="right" w:pos="8838"/>
        </w:tabs>
        <w:spacing w:after="0" w:line="240" w:lineRule="auto"/>
        <w:jc w:val="both"/>
        <w:rPr>
          <w:b/>
          <w:noProof/>
          <w:lang w:eastAsia="pt-BR"/>
        </w:rPr>
      </w:pPr>
    </w:p>
    <w:p w:rsidR="00BE1D40" w:rsidRDefault="00BE1D40" w:rsidP="00BE1D40">
      <w:pPr>
        <w:tabs>
          <w:tab w:val="center" w:pos="4419"/>
          <w:tab w:val="right" w:pos="8838"/>
        </w:tabs>
        <w:spacing w:after="0" w:line="240" w:lineRule="auto"/>
        <w:jc w:val="both"/>
        <w:rPr>
          <w:b/>
          <w:noProof/>
          <w:lang w:eastAsia="pt-BR"/>
        </w:rPr>
      </w:pPr>
    </w:p>
    <w:p w:rsidR="002506E6" w:rsidRDefault="00BE1D40" w:rsidP="00BE1D40">
      <w:pPr>
        <w:tabs>
          <w:tab w:val="center" w:pos="4419"/>
          <w:tab w:val="right" w:pos="8838"/>
        </w:tabs>
        <w:spacing w:after="0" w:line="240" w:lineRule="auto"/>
        <w:ind w:left="4248"/>
        <w:jc w:val="both"/>
        <w:rPr>
          <w:rFonts w:ascii="Segoe UI" w:hAnsi="Segoe UI" w:cs="Segoe UI"/>
          <w:color w:val="000000"/>
          <w:sz w:val="20"/>
          <w:szCs w:val="20"/>
          <w:shd w:val="clear" w:color="auto" w:fill="FFFFFF"/>
        </w:rPr>
      </w:pPr>
      <w:r>
        <w:rPr>
          <w:b/>
          <w:noProof/>
          <w:lang w:eastAsia="pt-BR"/>
        </w:rPr>
        <w:tab/>
      </w: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Plano Estratégico</w:t>
      </w: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Poder Judiciário do Estado do Rio de Janeiro</w:t>
      </w: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Biênio 2017 / 2018</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Poder Judiciário do Estado do Rio de Janeiro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Milton Fernandes de Souza</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Presidente do Tribunal de Justiça</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Cláudio de Mello Tavares</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Corregedor</w:t>
      </w:r>
      <w:r w:rsidRPr="00BE1D40">
        <w:rPr>
          <w:rFonts w:ascii="Verdana" w:eastAsia="Times New Roman" w:hAnsi="Verdana" w:cs="Arial"/>
          <w:sz w:val="16"/>
          <w:szCs w:val="13"/>
          <w:lang w:eastAsia="pt-BR"/>
        </w:rPr>
        <w:noBreakHyphen/>
        <w:t>Geral da Justiça</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Elisabete Filizzola Assunção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1ª Vice</w:t>
      </w:r>
      <w:r w:rsidRPr="00BE1D40">
        <w:rPr>
          <w:rFonts w:ascii="Verdana" w:eastAsia="Times New Roman" w:hAnsi="Verdana" w:cs="Arial"/>
          <w:sz w:val="16"/>
          <w:szCs w:val="13"/>
          <w:lang w:eastAsia="pt-BR"/>
        </w:rPr>
        <w:noBreakHyphen/>
        <w:t>Presidente</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Celso Ferreira Filho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2</w:t>
      </w:r>
      <w:r w:rsidRPr="00BE1D40">
        <w:rPr>
          <w:rFonts w:ascii="Verdana" w:eastAsia="Times New Roman" w:hAnsi="Verdana" w:cs="Arial"/>
          <w:position w:val="3"/>
          <w:sz w:val="16"/>
          <w:szCs w:val="13"/>
          <w:lang w:eastAsia="pt-BR"/>
        </w:rPr>
        <w:t>º</w:t>
      </w:r>
      <w:r w:rsidRPr="00BE1D40">
        <w:rPr>
          <w:rFonts w:ascii="Verdana" w:eastAsia="Times New Roman" w:hAnsi="Verdana" w:cs="Arial"/>
          <w:sz w:val="16"/>
          <w:szCs w:val="13"/>
          <w:lang w:eastAsia="pt-BR"/>
        </w:rPr>
        <w:t xml:space="preserve"> Vice</w:t>
      </w:r>
      <w:r w:rsidRPr="00BE1D40">
        <w:rPr>
          <w:rFonts w:ascii="Verdana" w:eastAsia="Times New Roman" w:hAnsi="Verdana" w:cs="Arial"/>
          <w:sz w:val="16"/>
          <w:szCs w:val="13"/>
          <w:lang w:eastAsia="pt-BR"/>
        </w:rPr>
        <w:noBreakHyphen/>
        <w:t>Presidente</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Maria Augusta Vaz Monteiro de Figueiredo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3</w:t>
      </w:r>
      <w:r w:rsidRPr="00BE1D40">
        <w:rPr>
          <w:rFonts w:ascii="Verdana" w:eastAsia="Times New Roman" w:hAnsi="Verdana" w:cs="Arial"/>
          <w:position w:val="3"/>
          <w:sz w:val="16"/>
          <w:szCs w:val="13"/>
          <w:lang w:eastAsia="pt-BR"/>
        </w:rPr>
        <w:t>ª</w:t>
      </w:r>
      <w:r w:rsidRPr="00BE1D40">
        <w:rPr>
          <w:rFonts w:ascii="Verdana" w:eastAsia="Times New Roman" w:hAnsi="Verdana" w:cs="Arial"/>
          <w:sz w:val="16"/>
          <w:szCs w:val="13"/>
          <w:lang w:eastAsia="pt-BR"/>
        </w:rPr>
        <w:t xml:space="preserve"> Vice</w:t>
      </w:r>
      <w:r w:rsidRPr="00BE1D40">
        <w:rPr>
          <w:rFonts w:ascii="Verdana" w:eastAsia="Times New Roman" w:hAnsi="Verdana" w:cs="Arial"/>
          <w:sz w:val="16"/>
          <w:szCs w:val="13"/>
          <w:lang w:eastAsia="pt-BR"/>
        </w:rPr>
        <w:noBreakHyphen/>
        <w:t>Presidente</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Comissão de Gestão Estratégica e Planejamento (COGEP)</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mallCaps/>
          <w:sz w:val="16"/>
          <w:szCs w:val="13"/>
          <w:lang w:eastAsia="pt-BR"/>
        </w:rPr>
      </w:pPr>
      <w:r w:rsidRPr="00BE1D40">
        <w:rPr>
          <w:rFonts w:ascii="Verdana" w:eastAsia="Times New Roman" w:hAnsi="Verdana" w:cs="Arial"/>
          <w:sz w:val="16"/>
          <w:szCs w:val="13"/>
          <w:lang w:eastAsia="pt-BR"/>
        </w:rPr>
        <w:t xml:space="preserve">Des. Carlos Santos de Oliveira – </w:t>
      </w:r>
      <w:r w:rsidRPr="00BE1D40">
        <w:rPr>
          <w:rFonts w:ascii="Verdana" w:eastAsia="Times New Roman" w:hAnsi="Verdana" w:cs="Arial"/>
          <w:smallCaps/>
          <w:sz w:val="16"/>
          <w:szCs w:val="13"/>
          <w:lang w:eastAsia="pt-BR"/>
        </w:rPr>
        <w:t>Presidente</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Antonio Iloizio Barros Bastos</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Maria Helena Pinto Machado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Des. Claudia Pires dos Santos Ferreira</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Juiz Fábio Ribeiro Porto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Juiz Gilberto de Mello Nogueira Abdelhay Júnior</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Juiz Leonardo Grandmasson Ferreira Chaves</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Alzimar Andrade Silva</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André Luiz de Saboya Moledo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Carlos Henrique Mendes Gralato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João Carlos Santos Cruz</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Michele Vieira de Oliveira</w:t>
      </w:r>
    </w:p>
    <w:p w:rsidR="00BE1D40" w:rsidRDefault="00BE1D40" w:rsidP="00BE1D40">
      <w:pPr>
        <w:spacing w:after="0" w:line="240" w:lineRule="auto"/>
        <w:jc w:val="both"/>
        <w:rPr>
          <w:rFonts w:ascii="Verdana" w:eastAsia="Times New Roman" w:hAnsi="Verdana" w:cs="Arial"/>
          <w:sz w:val="16"/>
          <w:szCs w:val="13"/>
          <w:lang w:eastAsia="pt-BR"/>
        </w:rPr>
      </w:pPr>
    </w:p>
    <w:p w:rsidR="00997239" w:rsidRPr="00BE1D40" w:rsidRDefault="00997239" w:rsidP="00BE1D40">
      <w:pPr>
        <w:spacing w:after="0" w:line="240" w:lineRule="auto"/>
        <w:jc w:val="both"/>
        <w:rPr>
          <w:rFonts w:ascii="Verdana" w:eastAsia="Times New Roman" w:hAnsi="Verdana" w:cs="Arial"/>
          <w:sz w:val="16"/>
          <w:szCs w:val="13"/>
          <w:lang w:eastAsia="pt-BR"/>
        </w:rPr>
      </w:pPr>
    </w:p>
    <w:p w:rsidR="00BE1D40" w:rsidRDefault="00BE1D40" w:rsidP="00BE1D40">
      <w:pPr>
        <w:spacing w:after="0" w:line="240" w:lineRule="auto"/>
        <w:jc w:val="both"/>
        <w:rPr>
          <w:rFonts w:ascii="Verdana" w:eastAsia="Times New Roman" w:hAnsi="Verdana" w:cs="Arial"/>
          <w:sz w:val="16"/>
          <w:szCs w:val="13"/>
          <w:lang w:eastAsia="pt-BR"/>
        </w:rPr>
      </w:pPr>
    </w:p>
    <w:p w:rsidR="008426CF" w:rsidRDefault="008426CF" w:rsidP="00BE1D40">
      <w:pPr>
        <w:spacing w:after="0" w:line="240" w:lineRule="auto"/>
        <w:jc w:val="both"/>
        <w:rPr>
          <w:rFonts w:ascii="Verdana" w:eastAsia="Times New Roman" w:hAnsi="Verdana" w:cs="Arial"/>
          <w:sz w:val="16"/>
          <w:szCs w:val="13"/>
          <w:lang w:eastAsia="pt-BR"/>
        </w:rPr>
      </w:pPr>
    </w:p>
    <w:p w:rsidR="008426CF" w:rsidRPr="00BE1D40" w:rsidRDefault="008426CF"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lastRenderedPageBreak/>
        <w:t>Sumário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2 Direcionadores Estratégicos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3 Mapa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 Temas e 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5 Projetos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6 Monitoramento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7 Considerações Finais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Palavras do Presidente do Poder Judiciário</w:t>
      </w:r>
    </w:p>
    <w:p w:rsidR="00BE1D40" w:rsidRPr="00BE1D40" w:rsidRDefault="00BE1D40" w:rsidP="00BE1D40">
      <w:pPr>
        <w:spacing w:after="0" w:line="240" w:lineRule="auto"/>
        <w:jc w:val="both"/>
        <w:rPr>
          <w:rFonts w:ascii="Verdana" w:eastAsia="Times New Roman" w:hAnsi="Verdana" w:cs="Arial"/>
          <w:sz w:val="16"/>
          <w:szCs w:val="13"/>
          <w:lang w:eastAsia="pt-BR"/>
        </w:rPr>
      </w:pPr>
      <w:bookmarkStart w:id="0" w:name="_Toc367445806"/>
      <w:r w:rsidRPr="00BE1D40">
        <w:rPr>
          <w:rFonts w:ascii="Verdana" w:eastAsia="Times New Roman" w:hAnsi="Verdana" w:cs="Arial"/>
          <w:sz w:val="16"/>
          <w:szCs w:val="13"/>
          <w:lang w:eastAsia="pt-BR"/>
        </w:rPr>
        <w:t>É com grande satisfação que este Tribunal de Justiça vem apresentar o seu planejamento estratégico para o biênio de 2017</w:t>
      </w:r>
      <w:r w:rsidRPr="00BE1D40">
        <w:rPr>
          <w:rFonts w:ascii="Verdana" w:eastAsia="Times New Roman" w:hAnsi="Verdana" w:cs="Arial"/>
          <w:sz w:val="16"/>
          <w:szCs w:val="13"/>
          <w:lang w:eastAsia="pt-BR"/>
        </w:rPr>
        <w:noBreakHyphen/>
        <w:t>2018. Integram este documento os projetos selecionados após avaliação pela Comissão de Gestão Estratégica e Planejamento (COGEP), que foram concebidos para a consecução dos principais objetivos desta gestão, em alinhamento com a estratégia nacional, estabelecida pelo Conselho Nacional de Justiça (CNJ) para todo o país.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Como já dito por mim, a missão do judiciário como guardião da Justiça está indissoluvelmente ligada à efetividade e à eficiência operacional e, para isso, é necessário abrir as portas para todos que necessitam de Justiça, produzir decisões justas e em tempo razoável. Sendo indispensável uma gestão voltada para o futuro, uma gestão que possa fazer mais com menos.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Uma concepção administrativa com uma estrutura reduzida e ágil se mostra necessária para enfrentar os desafios dos próximos anos. O Judiciário moderno precisa dividir sua atenção com a atividade judicante e a atividade gerencial. Para tanto, é importante concluir as tarefas iniciadas e implementar outras tantas já programadas, de acordo com o planejamento estratégico em vigor.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plano ora apresentado se baseia tanto em inovação, para atender às demandas que o cenário atual apresenta, como em continuidade, para garantir que ações importantes iniciadas por gestões predecessoras continuem seu curso, na constante busca da unidade de todos para materializar os projetos desta corte em efetividade e qualidade para a prestação jurisdicional.</w:t>
      </w:r>
    </w:p>
    <w:p w:rsidR="00BE1D40" w:rsidRPr="00BE1D40" w:rsidRDefault="00BE1D40" w:rsidP="00BE1D40">
      <w:pPr>
        <w:spacing w:after="0" w:line="240" w:lineRule="auto"/>
        <w:jc w:val="both"/>
        <w:rPr>
          <w:rFonts w:ascii="Verdana" w:eastAsia="Times New Roman" w:hAnsi="Verdana" w:cs="Arial"/>
          <w:sz w:val="16"/>
          <w:szCs w:val="13"/>
          <w:lang w:val="fr-FR" w:eastAsia="pt-BR"/>
        </w:rPr>
      </w:pPr>
      <w:r w:rsidRPr="00BE1D40">
        <w:rPr>
          <w:rFonts w:ascii="Verdana" w:eastAsia="Times New Roman" w:hAnsi="Verdana" w:cs="Arial"/>
          <w:sz w:val="16"/>
          <w:szCs w:val="13"/>
          <w:lang w:val="fr-FR" w:eastAsia="pt-BR"/>
        </w:rPr>
        <w:t xml:space="preserve">Des. Milton Fernandes de Souza. </w:t>
      </w:r>
    </w:p>
    <w:p w:rsidR="00BE1D40" w:rsidRPr="00BE1D40" w:rsidRDefault="00BE1D40" w:rsidP="00BE1D40">
      <w:pPr>
        <w:spacing w:after="0" w:line="240" w:lineRule="auto"/>
        <w:jc w:val="both"/>
        <w:rPr>
          <w:rFonts w:ascii="Verdana" w:eastAsia="Times New Roman" w:hAnsi="Verdana" w:cs="Arial"/>
          <w:sz w:val="16"/>
          <w:szCs w:val="13"/>
          <w:lang w:val="fr-FR"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Palavras do Presidente da Comissão de Gestão Estratégica e Planejamento (COGEP)</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 Plano Estratégico do Poder Judiciário do Estado do Rio de Janeiro retrata a consolidação dos temas e objetivos delineados pela atual Administração, com o objetivo de dar visibilidade e concretude às tarefas tratadas como prioritárias para o biênio em curso.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Alinhada à estratégia elaborada pelo Conselho Nacional de Justiça, a nossa Corte Estadual deliberou a respeito da composição da COGEP (Comissão de Gestão Estratégica e Planejamento), com a finalidade de implementar estudos no sentido de rever projetos anteriores e também de incluir novos projetos, para a implementação da Gestão Estratégica do Poder Judiciário Fluminense.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A COGEP foi constituída de forma plural, na medida em que seus integrantes representam os vários segmentos das atividades desenvolvidas no âmbito do Tribunal de Justiça. Em sua composição há Desembargadores, Juízes, e servidores que representam vários departamentos administrativos da Corte, além de representantes das respectivas associações de classe.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Essa concepção plural democratiza a discussão de ideias, permitindo que haja um alargamento no âmbito do trabalho a que a COGEP se propôs realizar. As reuniões da Comissão, até a deliberação no sentido da apresentação do presente Plano Estratégico, foram marcadas por debates, que traduziram os anseios dos mais diversos segmentos do Judiciário Estadual.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Dessa forma, creio que o trabalho ora apresentado traduz a vinculação dos projetos estratégicos a cada tema e objetivo estratégico, de molde a dar, repito, visibilidade e concretude na sua implementação e realização.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Destaco, por final, meus agradecimentos a todos os integrantes da COGEP, membros compromissados, que trabalharam com afinco para que o presente trabalho se tornasse realidade.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Des. Carlos Santos de Oliveira. </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 Apresentação</w:t>
      </w:r>
    </w:p>
    <w:bookmarkEnd w:id="0"/>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Este Plano Estratégico tem por finalidade revisar e estabelecer a estrutura da Gestão Estratégica do Tribunal de Justiça do Estado do Rio de Janeiro (TJERJ), para o biênio 2017/2018, sendo fruto da participação institucional, tanto de Magistrados, como servidores de diversas unidades do TJERJ, membros da Comissão de Gestão Estratégica e Planejamento (COGEP), que tem como integrantes Magistrados, representantes das Entidades de Classes de Magistrados e servidores – AMAERJ e SINDJustiça.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estratégia estabelecida alinha</w:t>
      </w:r>
      <w:r w:rsidRPr="00BE1D40">
        <w:rPr>
          <w:rFonts w:ascii="Verdana" w:eastAsia="Times New Roman" w:hAnsi="Verdana" w:cs="Arial"/>
          <w:sz w:val="16"/>
          <w:szCs w:val="13"/>
          <w:lang w:eastAsia="pt-BR"/>
        </w:rPr>
        <w:noBreakHyphen/>
        <w:t>se à estratégia geral do Conselho Nacional de Justiça (CNJ), sem perder de vista a necessidade de contemplar, nos seus aspectos concretos, a realidade pertinente ao PJERJ, que consideraram, além de propostas das unidades administrativas, os compromissos assumidos pela atual gestão. Igualmente, os recursos orçamentários para execução dos projetos foram assegurados e constam da proposta que abrange o biênio.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Na metodologia institucional, foram redesenhados os Direcionadores Estratégicos, de modo a renovar a marca da atual gestão em relação aos rumos do PJERJ, bem como traçados objetivos estratégicos, agrupados em Temas. Estes conceitos foram consolidados no Mapa Estratégico. A estes, posteriormente, foram alinhados projetos que, analisados pela COGEP, foram classificados como estratégicos, considerando, entre outros aspectos, o impacto institucional dos resultados que os mesmos venham a trazer.</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13"/>
          <w:lang w:eastAsia="pt-BR"/>
        </w:rPr>
        <w:t>2 Direcionadores Estratégicos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bCs/>
          <w:sz w:val="16"/>
          <w:szCs w:val="13"/>
          <w:lang w:eastAsia="pt-BR"/>
        </w:rPr>
        <w:t>Missão</w:t>
      </w:r>
      <w:r w:rsidRPr="00BE1D40">
        <w:rPr>
          <w:rFonts w:ascii="Verdana" w:eastAsia="Times New Roman" w:hAnsi="Verdana" w:cs="Arial"/>
          <w:sz w:val="16"/>
          <w:szCs w:val="13"/>
          <w:lang w:eastAsia="pt-BR"/>
        </w:rPr>
        <w:t>: Resolver os conflitos de interesses em tempo adequado à sua natureza, visando à pacificação social e efetividade de suas decisões.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bCs/>
          <w:sz w:val="16"/>
          <w:szCs w:val="13"/>
          <w:lang w:eastAsia="pt-BR"/>
        </w:rPr>
        <w:t>Visão</w:t>
      </w:r>
      <w:r w:rsidRPr="00BE1D40">
        <w:rPr>
          <w:rFonts w:ascii="Verdana" w:eastAsia="Times New Roman" w:hAnsi="Verdana" w:cs="Arial"/>
          <w:sz w:val="16"/>
          <w:szCs w:val="13"/>
          <w:lang w:eastAsia="pt-BR"/>
        </w:rPr>
        <w:t>: Consolidar</w:t>
      </w:r>
      <w:r w:rsidRPr="00BE1D40">
        <w:rPr>
          <w:rFonts w:ascii="Verdana" w:eastAsia="Times New Roman" w:hAnsi="Verdana" w:cs="Arial"/>
          <w:sz w:val="16"/>
          <w:szCs w:val="13"/>
          <w:lang w:eastAsia="pt-BR"/>
        </w:rPr>
        <w:noBreakHyphen/>
        <w:t>se como instituição pacificadora e solucionadora dos conflitos da sociedade.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Valores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Ética;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Probidade;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Transparência;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Integridade;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Acesso à justiça;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Celeridade;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Responsabilidade social e ambiental;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Imparcialidade;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Efetividade;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Modernidade.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bCs/>
          <w:sz w:val="16"/>
          <w:szCs w:val="13"/>
          <w:lang w:eastAsia="pt-BR"/>
        </w:rPr>
        <w:lastRenderedPageBreak/>
        <w:t>Política da Qualidade</w:t>
      </w:r>
      <w:r w:rsidRPr="00BE1D40">
        <w:rPr>
          <w:rFonts w:ascii="Verdana" w:eastAsia="Times New Roman" w:hAnsi="Verdana" w:cs="Arial"/>
          <w:sz w:val="16"/>
          <w:szCs w:val="13"/>
          <w:lang w:eastAsia="pt-BR"/>
        </w:rPr>
        <w:t>: Prestar jurisdição e apoio à solução de conflitos mediante a valorização de Magistrados e servidores, implementando práticas de gestão que impulsionem a instituição a alcançar seus objetivos.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8"/>
          <w:lang w:eastAsia="pt-BR"/>
        </w:rPr>
      </w:pPr>
      <w:r w:rsidRPr="00BE1D40">
        <w:rPr>
          <w:rFonts w:ascii="Verdana" w:eastAsia="Times New Roman" w:hAnsi="Verdana" w:cs="Arial"/>
          <w:sz w:val="16"/>
          <w:szCs w:val="13"/>
          <w:lang w:eastAsia="pt-BR"/>
        </w:rPr>
        <w:t>3 Mapa Estratégico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Mapa Estratégico é a representação gráfica da estratégia institucional, contemplando os Direcionadores, Temas e Objetivos Estratégicos.</w:t>
      </w:r>
    </w:p>
    <w:p w:rsid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São 8 (oito) temas estratégicos, que agrupam 24 objetivos estratégicos:</w:t>
      </w:r>
    </w:p>
    <w:p w:rsidR="00B03647" w:rsidRDefault="00B03647" w:rsidP="00BE1D40">
      <w:pPr>
        <w:spacing w:after="0" w:line="240" w:lineRule="auto"/>
        <w:jc w:val="both"/>
        <w:rPr>
          <w:rFonts w:ascii="Verdana" w:eastAsia="Times New Roman" w:hAnsi="Verdana" w:cs="Arial"/>
          <w:sz w:val="16"/>
          <w:szCs w:val="13"/>
          <w:lang w:eastAsia="pt-BR"/>
        </w:rPr>
      </w:pPr>
    </w:p>
    <w:p w:rsidR="00B03647" w:rsidRDefault="00B03647" w:rsidP="00BE1D40">
      <w:pPr>
        <w:spacing w:after="0" w:line="240" w:lineRule="auto"/>
        <w:jc w:val="both"/>
        <w:rPr>
          <w:rFonts w:ascii="Verdana" w:eastAsia="Times New Roman" w:hAnsi="Verdana" w:cs="Arial"/>
          <w:sz w:val="16"/>
          <w:szCs w:val="13"/>
          <w:lang w:eastAsia="pt-BR"/>
        </w:rPr>
      </w:pPr>
    </w:p>
    <w:p w:rsidR="00B03647" w:rsidRDefault="00B03647" w:rsidP="00BE1D40">
      <w:pPr>
        <w:spacing w:after="0" w:line="240" w:lineRule="auto"/>
        <w:jc w:val="both"/>
        <w:rPr>
          <w:rFonts w:ascii="Verdana" w:eastAsia="Times New Roman" w:hAnsi="Verdana" w:cs="Arial"/>
          <w:sz w:val="16"/>
          <w:szCs w:val="13"/>
          <w:lang w:eastAsia="pt-BR"/>
        </w:rPr>
      </w:pPr>
    </w:p>
    <w:p w:rsidR="008426CF" w:rsidRDefault="008426CF" w:rsidP="00BE1D40">
      <w:pPr>
        <w:spacing w:after="0" w:line="240" w:lineRule="auto"/>
        <w:jc w:val="both"/>
        <w:rPr>
          <w:rFonts w:ascii="Verdana" w:eastAsia="Times New Roman" w:hAnsi="Verdana" w:cs="Arial"/>
          <w:sz w:val="16"/>
          <w:szCs w:val="13"/>
          <w:lang w:eastAsia="pt-BR"/>
        </w:rPr>
      </w:pPr>
    </w:p>
    <w:p w:rsidR="00BE1D40" w:rsidRDefault="00BE1D40" w:rsidP="00BE1D40">
      <w:pPr>
        <w:spacing w:after="0" w:line="240" w:lineRule="auto"/>
        <w:jc w:val="center"/>
        <w:rPr>
          <w:rFonts w:ascii="Verdana" w:eastAsia="Times New Roman" w:hAnsi="Verdana" w:cs="Arial"/>
          <w:noProof/>
          <w:sz w:val="16"/>
          <w:szCs w:val="13"/>
          <w:lang w:eastAsia="pt-BR"/>
        </w:rPr>
      </w:pPr>
      <w:r w:rsidRPr="00BE1D40">
        <w:rPr>
          <w:rFonts w:ascii="Verdana" w:eastAsia="Times New Roman" w:hAnsi="Verdana" w:cs="Arial"/>
          <w:noProof/>
          <w:sz w:val="16"/>
          <w:szCs w:val="13"/>
          <w:lang w:eastAsia="pt-BR"/>
        </w:rPr>
        <w:drawing>
          <wp:inline distT="0" distB="0" distL="0" distR="0">
            <wp:extent cx="5676900" cy="4267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4267200"/>
                    </a:xfrm>
                    <a:prstGeom prst="rect">
                      <a:avLst/>
                    </a:prstGeom>
                    <a:noFill/>
                    <a:ln>
                      <a:noFill/>
                    </a:ln>
                  </pic:spPr>
                </pic:pic>
              </a:graphicData>
            </a:graphic>
          </wp:inline>
        </w:drawing>
      </w:r>
    </w:p>
    <w:p w:rsidR="00B03647" w:rsidRDefault="00B03647" w:rsidP="00BE1D40">
      <w:pPr>
        <w:spacing w:after="0" w:line="240" w:lineRule="auto"/>
        <w:jc w:val="center"/>
        <w:rPr>
          <w:rFonts w:ascii="Verdana" w:eastAsia="Times New Roman" w:hAnsi="Verdana" w:cs="Arial"/>
          <w:noProof/>
          <w:sz w:val="16"/>
          <w:szCs w:val="13"/>
          <w:lang w:eastAsia="pt-BR"/>
        </w:rPr>
      </w:pPr>
    </w:p>
    <w:p w:rsidR="00B03647" w:rsidRDefault="00B03647" w:rsidP="00BE1D40">
      <w:pPr>
        <w:spacing w:after="0" w:line="240" w:lineRule="auto"/>
        <w:jc w:val="center"/>
        <w:rPr>
          <w:rFonts w:ascii="Verdana" w:eastAsia="Times New Roman" w:hAnsi="Verdana" w:cs="Arial"/>
          <w:noProof/>
          <w:sz w:val="16"/>
          <w:szCs w:val="13"/>
          <w:lang w:eastAsia="pt-BR"/>
        </w:rPr>
      </w:pPr>
    </w:p>
    <w:p w:rsidR="00B03647" w:rsidRDefault="00B03647" w:rsidP="00BE1D40">
      <w:pPr>
        <w:spacing w:after="0" w:line="240" w:lineRule="auto"/>
        <w:jc w:val="center"/>
        <w:rPr>
          <w:rFonts w:ascii="Verdana" w:eastAsia="Times New Roman" w:hAnsi="Verdana" w:cs="Arial"/>
          <w:noProof/>
          <w:sz w:val="16"/>
          <w:szCs w:val="13"/>
          <w:lang w:eastAsia="pt-BR"/>
        </w:rPr>
      </w:pPr>
    </w:p>
    <w:p w:rsidR="00B03647" w:rsidRDefault="00B03647" w:rsidP="00BE1D40">
      <w:pPr>
        <w:spacing w:after="0" w:line="240" w:lineRule="auto"/>
        <w:jc w:val="center"/>
        <w:rPr>
          <w:rFonts w:ascii="Verdana" w:eastAsia="Times New Roman" w:hAnsi="Verdana" w:cs="Arial"/>
          <w:noProof/>
          <w:sz w:val="16"/>
          <w:szCs w:val="13"/>
          <w:lang w:eastAsia="pt-BR"/>
        </w:rPr>
      </w:pPr>
    </w:p>
    <w:p w:rsidR="00B03647" w:rsidRPr="00BE1D40" w:rsidRDefault="00B03647" w:rsidP="00BE1D40">
      <w:pPr>
        <w:spacing w:after="0" w:line="240" w:lineRule="auto"/>
        <w:jc w:val="center"/>
        <w:rPr>
          <w:rFonts w:ascii="Verdana" w:eastAsia="Times New Roman" w:hAnsi="Verdana" w:cs="Arial"/>
          <w:noProof/>
          <w:sz w:val="16"/>
          <w:szCs w:val="13"/>
          <w:lang w:eastAsia="pt-BR"/>
        </w:rPr>
      </w:pPr>
      <w:bookmarkStart w:id="1" w:name="_GoBack"/>
      <w:bookmarkEnd w:id="1"/>
    </w:p>
    <w:p w:rsid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 conceito de Mapa Estratégico se resume em ter e garantir os recursos necessários ao aperfeiçoamento dos processos internos e alcançar o reconhecimento da sociedade, integrando estas perspectivas, em conformidade com a metodologia do </w:t>
      </w:r>
      <w:r w:rsidRPr="00BE1D40">
        <w:rPr>
          <w:rFonts w:ascii="Verdana" w:eastAsia="Times New Roman" w:hAnsi="Verdana" w:cs="Arial"/>
          <w:i/>
          <w:sz w:val="16"/>
          <w:szCs w:val="13"/>
          <w:lang w:eastAsia="pt-BR"/>
        </w:rPr>
        <w:t>Balanced Scorecard</w:t>
      </w:r>
      <w:r w:rsidRPr="00BE1D40">
        <w:rPr>
          <w:rFonts w:ascii="Verdana" w:eastAsia="Times New Roman" w:hAnsi="Verdana" w:cs="Arial"/>
          <w:sz w:val="16"/>
          <w:szCs w:val="13"/>
          <w:lang w:eastAsia="pt-BR"/>
        </w:rPr>
        <w:t xml:space="preserve"> (BSC), ferramenta de planejamento que propicia uma visão clara da estratégia da organização.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De acordo com esta metodologia, cada tema deve contribuir em sucessão com os demais, até que todos interajam para o alcance dos objetivos da organização, conforme o gráfico de interação a seguir:</w:t>
      </w:r>
    </w:p>
    <w:p w:rsidR="00BE1D40" w:rsidRDefault="00BE1D40" w:rsidP="00BE1D40">
      <w:pPr>
        <w:spacing w:after="0" w:line="240" w:lineRule="auto"/>
        <w:jc w:val="both"/>
        <w:rPr>
          <w:rFonts w:ascii="Verdana" w:eastAsia="Times New Roman" w:hAnsi="Verdana" w:cs="Arial"/>
          <w:sz w:val="16"/>
          <w:szCs w:val="13"/>
          <w:lang w:eastAsia="pt-BR"/>
        </w:rPr>
      </w:pPr>
    </w:p>
    <w:p w:rsidR="008426CF" w:rsidRDefault="008426CF"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28"/>
          <w:lang w:eastAsia="pt-BR"/>
        </w:rPr>
      </w:pPr>
      <w:r w:rsidRPr="00BE1D40">
        <w:rPr>
          <w:rFonts w:ascii="Verdana" w:eastAsia="Times New Roman" w:hAnsi="Verdana" w:cs="Times New Roman"/>
          <w:noProof/>
          <w:sz w:val="16"/>
          <w:szCs w:val="24"/>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3550285</wp:posOffset>
                </wp:positionH>
                <wp:positionV relativeFrom="paragraph">
                  <wp:posOffset>2440940</wp:posOffset>
                </wp:positionV>
                <wp:extent cx="946150" cy="276225"/>
                <wp:effectExtent l="0" t="0" r="6350" b="952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239" w:rsidRPr="00F476C1" w:rsidRDefault="00997239" w:rsidP="00BE1D40">
                            <w:pPr>
                              <w:jc w:val="center"/>
                              <w:rPr>
                                <w:rFonts w:cs="Arial"/>
                                <w:sz w:val="11"/>
                                <w:szCs w:val="11"/>
                              </w:rPr>
                            </w:pPr>
                            <w:r w:rsidRPr="00F476C1">
                              <w:rPr>
                                <w:rFonts w:cs="Arial"/>
                                <w:sz w:val="11"/>
                                <w:szCs w:val="11"/>
                              </w:rPr>
                              <w:t>GARANTIA DOS DIREITOS DA CIDADANIA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279.55pt;margin-top:192.2pt;width:7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" stroked="f">
                <v:textbox>
                  <w:txbxContent>
                    <w:p w:rsidR="00997239" w:rsidRPr="00F476C1" w:rsidRDefault="00997239" w:rsidP="00BE1D40">
                      <w:pPr>
                        <w:jc w:val="center"/>
                        <w:rPr>
                          <w:rFonts w:cs="Arial"/>
                          <w:sz w:val="11"/>
                          <w:szCs w:val="11"/>
                        </w:rPr>
                      </w:pPr>
                      <w:r w:rsidRPr="00F476C1">
                        <w:rPr>
                          <w:rFonts w:cs="Arial"/>
                          <w:sz w:val="11"/>
                          <w:szCs w:val="11"/>
                        </w:rPr>
                        <w:t>GARANTIA DOS DIREITOS DA CIDADANIA</w:t>
                      </w:r>
                    </w:p>
                  </w:txbxContent>
                </v:textbox>
              </v:shape>
            </w:pict>
          </mc:Fallback>
        </mc:AlternateContent>
      </w:r>
      <w:r w:rsidRPr="00BE1D40">
        <w:rPr>
          <w:rFonts w:ascii="Verdana" w:eastAsia="Times New Roman" w:hAnsi="Verdana" w:cs="Arial"/>
          <w:noProof/>
          <w:sz w:val="16"/>
          <w:szCs w:val="13"/>
          <w:lang w:eastAsia="pt-BR"/>
        </w:rPr>
        <w:drawing>
          <wp:inline distT="0" distB="0" distL="0" distR="0">
            <wp:extent cx="5114925" cy="38576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857625"/>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 Temas e Objetivos Estratégicos</w:t>
      </w:r>
    </w:p>
    <w:p w:rsidR="00BE1D40" w:rsidRPr="00BE1D40" w:rsidRDefault="00BE1D40" w:rsidP="00BE1D40">
      <w:pPr>
        <w:spacing w:after="0" w:line="240" w:lineRule="auto"/>
        <w:jc w:val="both"/>
        <w:rPr>
          <w:rFonts w:ascii="Verdana" w:eastAsia="Times New Roman" w:hAnsi="Verdana" w:cs="Arial"/>
          <w:sz w:val="16"/>
          <w:szCs w:val="24"/>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 presente plano está baseado nos Temas ou Focos Estratégicos e os respectivos objetivos abaixo detalhados: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PERSPECTIVA PROCESSOS INTERNOS – Aperfeiçoar</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PRESTAÇÃO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Finalidade: </w:t>
      </w:r>
      <w:r w:rsidRPr="00BE1D40">
        <w:rPr>
          <w:rFonts w:ascii="Verdana" w:eastAsia="Times New Roman" w:hAnsi="Verdana" w:cs="Arial"/>
          <w:sz w:val="16"/>
          <w:szCs w:val="13"/>
          <w:lang w:eastAsia="pt-BR"/>
        </w:rPr>
        <w:t>A prestação jurisdicional é a função precípua do Poder Judiciário. Assim, o aprimoramento do processo de prestação jurisdicional é tema nato da estratégica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sz w:val="16"/>
          <w:szCs w:val="13"/>
          <w:lang w:eastAsia="pt-BR"/>
        </w:rPr>
        <w:t>Incremento das políticas de priorização das atividades de 1º Grau;</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da informação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Incremento da adoção de meios alternativos de composição de litígios;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Gestão de demandas repetitivas e de grandes litigantes;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Preservação dos mecanismos de celeridade jurisdicional do PJERJ;</w:t>
      </w: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sz w:val="16"/>
          <w:szCs w:val="13"/>
          <w:lang w:eastAsia="pt-BR"/>
        </w:rPr>
        <w:t>Priorização da fase de execução;</w:t>
      </w: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sz w:val="16"/>
          <w:szCs w:val="13"/>
          <w:lang w:eastAsia="pt-BR"/>
        </w:rPr>
        <w:t>Aprimoramento do modelo de gestão das execuções fiscais;</w:t>
      </w: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sz w:val="16"/>
          <w:szCs w:val="13"/>
          <w:lang w:eastAsia="pt-BR"/>
        </w:rPr>
        <w:t>Aprimoramento da justiça criminal como mecanismo de pacificação social.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0"/>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GOVERNANÇA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Ampliar continuamente a capacidade do PJERJ de formular e implementar de forma autônoma políticas e práticas para consecução de seus objetivos, fortalecendo o princípio constitucional da separação dos poderes.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Defesa da autonomia e da independência do Poder Judiciário;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Garantia do alinhamento estratégico das unidades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das políticas de controle interno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COMUNICAÇÃO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Aproximar o PJERJ da sociedade e melhorar continuamente a comunicação institucional, com respeito aos princípios da transparência e acesso à informação.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Incentivo à comunicação interna e com a sociedade civil;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comunicação com a mídia.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GARANTIA DOS DIREITOS DA CIDADANIA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Promover ações de respeito ao meio ambiente e sustentabilidade e políticas públicas voltadas ao bem</w:t>
      </w:r>
      <w:r w:rsidRPr="00BE1D40">
        <w:rPr>
          <w:rFonts w:ascii="Verdana" w:eastAsia="Times New Roman" w:hAnsi="Verdana" w:cs="Arial"/>
          <w:sz w:val="16"/>
          <w:szCs w:val="13"/>
          <w:lang w:eastAsia="pt-BR"/>
        </w:rPr>
        <w:noBreakHyphen/>
        <w:t>estar do público interno e externo.</w:t>
      </w:r>
    </w:p>
    <w:p w:rsidR="00BE1D40" w:rsidRPr="00BE1D40" w:rsidRDefault="00BE1D40" w:rsidP="00BE1D40">
      <w:pPr>
        <w:spacing w:after="0" w:line="240" w:lineRule="auto"/>
        <w:jc w:val="both"/>
        <w:rPr>
          <w:rFonts w:ascii="Verdana" w:eastAsia="Times New Roman" w:hAnsi="Verdana" w:cs="Arial"/>
          <w:sz w:val="16"/>
          <w:szCs w:val="10"/>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Promoção da responsabilidade socioambiental.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PERSPECTIVA RECURSOS – Ter</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GESTÃO DE PESSOAS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Otimizar a alocação de habilidades, conhecimentos, capacitações, técnicas e práticas disponíveis na instituição, com o objetivo de potencializar os resultados relacionados ao capital humano do PJERJ, aumentando a satisfação do público interno.</w:t>
      </w:r>
    </w:p>
    <w:p w:rsidR="00BE1D40" w:rsidRPr="00BE1D40" w:rsidRDefault="00BE1D40" w:rsidP="00BE1D40">
      <w:pPr>
        <w:spacing w:after="0" w:line="240" w:lineRule="auto"/>
        <w:jc w:val="both"/>
        <w:rPr>
          <w:rFonts w:ascii="Verdana" w:eastAsia="Times New Roman" w:hAnsi="Verdana" w:cs="Arial"/>
          <w:sz w:val="16"/>
          <w:szCs w:val="10"/>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Magistrados e da carreira da Magistratura;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servidores e da carreira de serventuário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capacitação e das competências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TECNOLOGIA DA INFORMAÇÃO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Ampliar a capacidade tecnológica da instituição, automatizando e agilizando os processos de trabalho, reduzindo a alocação de recursos e esforços em sua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infraestrutura e dos equipamentos de TI;</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dos sistemas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Ampliação do acesso à tecnologia.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ESTRUTURA PREDIAL, LOGÍSTICA E DE SEGURANÇA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Garantir a infraestrutura física necessária à adequada realização dos processos de trabalho do PJERJ, em todas as esferas de atividade.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segurança dos Magistrados, servidores e edificações;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Infraestrutura predial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logístico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ORÇAMENTO E FINANÇAS</w:t>
      </w:r>
    </w:p>
    <w:p w:rsidR="00BE1D40" w:rsidRPr="00BE1D40" w:rsidRDefault="00BE1D40" w:rsidP="00BE1D40">
      <w:pPr>
        <w:spacing w:after="0" w:line="240" w:lineRule="auto"/>
        <w:jc w:val="both"/>
        <w:rPr>
          <w:rFonts w:ascii="Verdana" w:eastAsia="Times New Roman" w:hAnsi="Verdana" w:cs="Arial"/>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Finalidade</w:t>
      </w:r>
      <w:r w:rsidRPr="00BE1D40">
        <w:rPr>
          <w:rFonts w:ascii="Verdana" w:eastAsia="Times New Roman" w:hAnsi="Verdana" w:cs="Arial"/>
          <w:sz w:val="16"/>
          <w:szCs w:val="13"/>
          <w:lang w:eastAsia="pt-BR"/>
        </w:rPr>
        <w:t>: Garantir a alocação dos recursos necessários à execução dos objetivos do PJERJ, ampliando a capacidade de gerenciamento e organização financeira da instituição.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Objetivos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governança financeira e orçamentária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6"/>
          <w:lang w:eastAsia="pt-BR"/>
        </w:rPr>
      </w:pPr>
      <w:r w:rsidRPr="00BE1D40">
        <w:rPr>
          <w:rFonts w:ascii="Verdana" w:eastAsia="Times New Roman" w:hAnsi="Verdana" w:cs="Arial"/>
          <w:sz w:val="16"/>
          <w:szCs w:val="13"/>
          <w:lang w:eastAsia="pt-BR"/>
        </w:rPr>
        <w:t>5 Projetos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A classificação de cada projeto como estratégico é realizada por meio de análise da COGEP, para posterior aprovação da Administração Superior e do Órgão Especial, considerando questões como o impacto dos resultados do projeto para a instituição, entre outras.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partir da aprovação, as unidades coordenadoras de projetos passam a planejar e acompanhar a execução dos projetos, alcançar as metas e fornecer as informações necessárias a promover a implementação e integração da estratégia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Seguem relacionados os projetos estratégicos vinculados a cada tema e objetivo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Prestação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Justiça Criminal como mecanismo de pacificação social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Implementação das Audiências de Custódia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Implementação de processo de trabalho para realização de audiências de custódia no Interior do Estado. O projeto piloto foi implementado na Capital e o objetivo é a expansão para o Interior, no que tange aos Autos de Prisão em Flagrante (APF).</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Justiça Criminal como mecanismo de pacificação social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Incremento das políticas de priorização das atividades de 1º Grau</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Gestão da Vara de Execuções Penais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0"/>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Reestruturação das rotinas administrativas da VEP, com definição de indicadores de desempenho, em conformidade com o novo sistema PROJUDI, que posteriormente possam ser inseridas na Consolidação Normativa.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Depoimento Especial de crianças e adolescentes vítimas ou testemunhas de crimes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Escopo</w:t>
      </w:r>
      <w:r w:rsidRPr="00BE1D40">
        <w:rPr>
          <w:rFonts w:ascii="Verdana" w:eastAsia="Times New Roman" w:hAnsi="Verdana" w:cs="Arial"/>
          <w:sz w:val="16"/>
          <w:szCs w:val="13"/>
          <w:lang w:eastAsia="pt-BR"/>
        </w:rPr>
        <w:t>: Implementação de procedimentos para realização das audiências de Depoimento Especial de crianças e adolescentes vítimas ou testemunhas de violência e abuso sexual, propiciando a efetivação da Nova Lei 13.431 sancionada em 04/04/2017.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Incremento da adoção de meios alternativos de composição de litígios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Gestão de demandas repetitivas e de grandes litigantes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dos mecanismos de mediação e dos métodos não adversariais de solução de conflitos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Traçar políticas de métodos autocompositivos de conflitos, desenvolvendo ferramentas que facilitem sua resolução por meio consensual.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Incremento da adoção de meios alternativos de composição de litígios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Implementação das Casas de Família</w:t>
      </w:r>
    </w:p>
    <w:p w:rsidR="00BE1D40" w:rsidRPr="00BE1D40" w:rsidRDefault="00BE1D40" w:rsidP="00BE1D40">
      <w:pPr>
        <w:spacing w:after="0" w:line="240" w:lineRule="auto"/>
        <w:jc w:val="both"/>
        <w:rPr>
          <w:rFonts w:ascii="Verdana" w:eastAsia="Times New Roman" w:hAnsi="Verdana" w:cs="Arial"/>
          <w:sz w:val="16"/>
          <w:szCs w:val="10"/>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Oferecer às partes e aos seus advogados serviços que visam identificar, diagnosticar, tratar e solucionar conflitos objetivos ou subjacentes ao processo, por meio de práticas e saberes multidisciplinares, ampliando o modo de solução justa e a pacificação social.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Incremento das políticas de priorização das atividades de 1º Grau</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Multiplicação do Protocolo Violeta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Escopo</w:t>
      </w:r>
      <w:r w:rsidRPr="00BE1D40">
        <w:rPr>
          <w:rFonts w:ascii="Verdana" w:eastAsia="Times New Roman" w:hAnsi="Verdana" w:cs="Arial"/>
          <w:sz w:val="16"/>
          <w:szCs w:val="13"/>
          <w:lang w:eastAsia="pt-BR"/>
        </w:rPr>
        <w:t>: Celeridade na prestação jurisdicional às vítimas de violência doméstica e de gênero. O projeto piloto foi implementado na Capital e o objetivo é a expansão para o Interior.</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de Valorização da Primeira Infância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Implementação de medidas administrativas, no âmbito da jurisdição Criminal, da Execução Penal, da Infância e do 2º grau de jurisdição, para assegurar prioridade de tramitação e celeridade a processos envolvendo, direta ou indiretamente, crianças na primeira infância, de zero a 6 anos de idade, sujeitos de medidas protetivas (inclusive no caso de gestantes ou mães presas, que convivam com filho no cárcere); capacitação das equipes interdisciplinares das VIJI.</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Reestruturação da Central de Testamentaria e Tutoria Judicial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Reestruturação das rotinas administrativas da Central de Testamentaria e Tutoria Judicial e da infraestrutura logística e de pessoal e capacitação da unidade, com levantamento de todas as atribuições envolvidas no sistema DCP.</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Ampliação do Processo Judicial Eletrônico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Desenvolver tramitação eletrônica, autos com forma simples e transparente. Acesso imediato ao processo pela internet, visando à celeridade processual.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Erradicação do sub</w:t>
      </w:r>
      <w:r w:rsidRPr="00BE1D40">
        <w:rPr>
          <w:rFonts w:ascii="Verdana" w:eastAsia="Times New Roman" w:hAnsi="Verdana" w:cs="Arial"/>
          <w:sz w:val="16"/>
          <w:szCs w:val="13"/>
          <w:lang w:eastAsia="pt-BR"/>
        </w:rPr>
        <w:noBreakHyphen/>
        <w:t>registro no sistema carcerário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Operacionalizar ações que visem à erradicação do sub</w:t>
      </w:r>
      <w:r w:rsidRPr="00BE1D40">
        <w:rPr>
          <w:rFonts w:ascii="Verdana" w:eastAsia="Times New Roman" w:hAnsi="Verdana" w:cs="Arial"/>
          <w:sz w:val="16"/>
          <w:szCs w:val="13"/>
          <w:lang w:eastAsia="pt-BR"/>
        </w:rPr>
        <w:noBreakHyphen/>
        <w:t>registro dentro do sistema carcerário.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Operacionalizar ações que visem à erradicação da sub</w:t>
      </w:r>
      <w:r w:rsidRPr="00BE1D40">
        <w:rPr>
          <w:rFonts w:ascii="Verdana" w:eastAsia="Times New Roman" w:hAnsi="Verdana" w:cs="Arial"/>
          <w:sz w:val="16"/>
          <w:szCs w:val="13"/>
          <w:lang w:eastAsia="pt-BR"/>
        </w:rPr>
        <w:noBreakHyphen/>
        <w:t>identificação de óbitos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Operacionalizar ações que visem à erradicação da sub</w:t>
      </w:r>
      <w:r w:rsidRPr="00BE1D40">
        <w:rPr>
          <w:rFonts w:ascii="Verdana" w:eastAsia="Times New Roman" w:hAnsi="Verdana" w:cs="Arial"/>
          <w:sz w:val="16"/>
          <w:szCs w:val="13"/>
          <w:lang w:eastAsia="pt-BR"/>
        </w:rPr>
        <w:noBreakHyphen/>
        <w:t>identificação de óbitos, visando diminuir o índice de sub</w:t>
      </w:r>
      <w:r w:rsidRPr="00BE1D40">
        <w:rPr>
          <w:rFonts w:ascii="Verdana" w:eastAsia="Times New Roman" w:hAnsi="Verdana" w:cs="Arial"/>
          <w:sz w:val="16"/>
          <w:szCs w:val="13"/>
          <w:lang w:eastAsia="pt-BR"/>
        </w:rPr>
        <w:noBreakHyphen/>
        <w:t>identificação de óbito, incrementar estatísticas alimentadas pela Corregedoria</w:t>
      </w:r>
      <w:r w:rsidRPr="00BE1D40">
        <w:rPr>
          <w:rFonts w:ascii="Verdana" w:eastAsia="Times New Roman" w:hAnsi="Verdana" w:cs="Arial"/>
          <w:sz w:val="16"/>
          <w:szCs w:val="13"/>
          <w:lang w:eastAsia="pt-BR"/>
        </w:rPr>
        <w:noBreakHyphen/>
        <w:t>Geral da Justiça, padronizar critérios de preenchimento de registos de óbitos, conferindo maior segurança jurídica ao sistema registral, dentre outros.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Desenvolvimento de Certidão Eletrônica de Registro de Distribuição dos Feitos Judiciais expedida pelos Distribuidores, Contadores e Partidores (DCP) do Estado do Rio de Janeiro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b/>
          <w:sz w:val="16"/>
          <w:szCs w:val="24"/>
          <w:lang w:eastAsia="pt-BR"/>
        </w:rPr>
        <w:t xml:space="preserve">Escopo: </w:t>
      </w:r>
      <w:r w:rsidRPr="00BE1D40">
        <w:rPr>
          <w:rFonts w:ascii="Verdana" w:eastAsia="Times New Roman" w:hAnsi="Verdana" w:cs="Arial"/>
          <w:sz w:val="16"/>
          <w:szCs w:val="13"/>
          <w:lang w:eastAsia="pt-BR"/>
        </w:rPr>
        <w:t>O projeto tem por objetivo disponibilizar ao cidadão o requerimento e recebimento das certidões de distribuição dos feitos judiciais cíveis e criminais, expedidas pelos Distribuidores, Contadores e Partidores (DCP) do Estado do Rio de Janeiro de forma eletrônica, garantindo a segurança e eficácia do ato, bem como dando celeridade e conforto ao requerente. Tais certidões são usadas diuturnamente pelo cidadão para fazer prova junto a autoridades públicas ou privadas, em situações como concursos públicos, emprego, compra e venda de imóveis etc.</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 Modelo de Gestão das Execuções Fiscais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 modelo de gestão da dívida ativa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b/>
          <w:sz w:val="16"/>
          <w:szCs w:val="24"/>
          <w:lang w:eastAsia="pt-BR"/>
        </w:rPr>
        <w:t xml:space="preserve">Escopo: </w:t>
      </w:r>
      <w:r w:rsidRPr="00BE1D40">
        <w:rPr>
          <w:rFonts w:ascii="Verdana" w:eastAsia="Times New Roman" w:hAnsi="Verdana" w:cs="Arial"/>
          <w:sz w:val="16"/>
          <w:szCs w:val="13"/>
          <w:lang w:eastAsia="pt-BR"/>
        </w:rPr>
        <w:t>Implementação de novo modelo de gerenciamento dos cartórios da dívida ativa</w:t>
      </w:r>
      <w:r w:rsidRPr="00BE1D40">
        <w:rPr>
          <w:rFonts w:ascii="Verdana" w:eastAsia="Times New Roman" w:hAnsi="Verdana" w:cs="Arial"/>
          <w:sz w:val="16"/>
          <w:szCs w:val="24"/>
          <w:lang w:eastAsia="pt-BR"/>
        </w:rPr>
        <w:t>.</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da informação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Portal do Conhecimento do TJERJ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Transformar o Banco do Conhecimento em Portal do Conhecimento mediante revisão, sistematização e integração dos conteúdos de conhecimento organizacional.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Aperfeiçoamento da Classificação dos Processos Judiciais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Classes de processos judiciais atualizadas para aumento da fidelidade da classificação dos processos e qualidade das informações estatísticas.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Preservação dos mecanismos de celeridade jurisdicional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Efetividade dos indicadores jurisdicionais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Desenvolver indicadores para auxiliar na gestão das unidades jurisdicionais e implementar melhorias nos indicadores existentes.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Fomentar a redução da Taxa de Congestionamento nas serventias judiciais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Redução e controle da quantidade de processos no âmbito do PJERJ, mediante monitoramento e apoio gerencial às serventias judiciais acerca do conceito da taxa e análise dos indicadores, visando à melhoria dos resultados estatísticos.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Governança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das políticas de controle interno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Governança Institucional através do fortalecimento dos controles internos, da auditoria interna e da gestão de riscos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Contribuir para o aprimoramento da Gestão de Riscos do PJERJ, coordenada pelo DEGEP, por meio de parceria entre diretorias, com a disseminação dos conhecimentos, considerando a importância da implantação do gerenciamento de riscos na gestão da qualidade.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Garantia dos Direitos da Cidadania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Promoção da responsabilidade socioambiental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Implementação do Sistema de Monitoramento nas Centrais de Penas e Medidas Alternativas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Uniformização das Centrais de Penas e Medidas Alternativas, através de um sistema corporativo próprio, objetivando a realização de um monitoramento mais eficiente e eficaz.</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Mapear áreas de acessibilidade nos Fóruns do Estado do Rio de Janeiro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Identificação das necessidades de adequação à acessibilidade nos Fóruns do Estado do Rio de Janeiro e unidades móveis, objetivando possível execução de obras ou reformas para ajustamento às legislações pertinentes.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Gestão de Pessoas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capacitação e das competências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servidores e da carreira de serventuário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Programa Integrado de Gestão de Pessoas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Ações integradas que contribuam para o desenvolvimento de competências pessoais e profissionais dos servidores e gestores do PJERJ, tais como: Programa de Desenvolvimento Gerencial para Chefes de Serventia, Programa Permanente de Preparação para Aposentadoria, Avaliação Especial de Desempenho, Programa de Qualidade de Vida, Estudo de Lotação das Câmaras e Administrativo dentre outros.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capacitação e das competências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Magistrados e da carreira da Magistratura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servidores e da carreira de serventuário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Implementação do novo sistema GPES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Sistematização e automatização dos procedimentos referentes à gestão de pessoas, a partir das seguintes entregas: higienização dos bancos de dados; planejamento do novo banco de dados; planejamento das novas rotinas, prevendo maior automação; comunicação plena com os demais sistemas, especialmente com o de folha de pagamento, evitando</w:t>
      </w:r>
      <w:r w:rsidRPr="00BE1D40">
        <w:rPr>
          <w:rFonts w:ascii="Verdana" w:eastAsia="Times New Roman" w:hAnsi="Verdana" w:cs="Arial"/>
          <w:sz w:val="16"/>
          <w:szCs w:val="13"/>
          <w:lang w:eastAsia="pt-BR"/>
        </w:rPr>
        <w:noBreakHyphen/>
        <w:t>se mais de um lançamento da mesma informação; funcionamento de portais de gestores e de servidores, com máxima disponibilidade de informações e tarefas, evitando</w:t>
      </w:r>
      <w:r w:rsidRPr="00BE1D40">
        <w:rPr>
          <w:rFonts w:ascii="Verdana" w:eastAsia="Times New Roman" w:hAnsi="Verdana" w:cs="Arial"/>
          <w:sz w:val="16"/>
          <w:szCs w:val="13"/>
          <w:lang w:eastAsia="pt-BR"/>
        </w:rPr>
        <w:noBreakHyphen/>
        <w:t>se atendimentos e processos administrativos desnecessários; migração dos sistemas em plataforma Mumphs, que está obsoleta e deve ser extinta.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Estrutura Predial, Logística e de Segurança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segurança aos Magistrados, servidores e edificações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Expansão do sistema de videoconferência nas audiências nas varas criminais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Sistema de videoconferência nas varas criminais do PJERJ para presos de altíssima e alta periculosidade, com redução de custos com o transporte de presos e do risco à população pela diminuição dos deslocamentos de presos perigosos em vias públicas e dentro das instalações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Aprimorar a segurança nas instalações físicas do PJERJ com a implementação do Sistema de Controle de Acesso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Unidade do PJERJ com o acesso controlado; acautelamento de armas de fogo nas Unidades do PJERJ; acautelamento de objetos que ofereçam risco aos magistrados, servidores e usuários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Infraestrutura predial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de Obras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 xml:space="preserve">Readequação do Complexo do Fórum Central </w:t>
      </w:r>
      <w:r w:rsidRPr="00BE1D40">
        <w:rPr>
          <w:rFonts w:ascii="Verdana" w:eastAsia="Times New Roman" w:hAnsi="Verdana" w:cs="Arial"/>
          <w:sz w:val="16"/>
          <w:szCs w:val="13"/>
          <w:lang w:eastAsia="pt-BR"/>
        </w:rPr>
        <w:noBreakHyphen/>
        <w:t xml:space="preserve"> Fase2 (continuidade); 2ª Fase Readequação das Instalações da 1º Instância – Lâmina I; Angra dos Reis; Iguaba Grande; Arraial do Cabo; Projeto Readequação das Instalações Centro Administrativo TJRJ – CONAB; Niterói – fachadas e janelas; Projeto de Recuperação estrutural da garagem subterrânea – Praça Expedicionários; Projeto Revitalização do Fórum da Barra da Tijuca; Convênio Prefeitura Miguel Pereira – Doação de Terreno e Construção de Fórum Novo; Ar condicionado – Duque de Caxias , Macaé, Pavuna / Cabo Frio; Heliponto – autorização ANAC / DECEA; Galpão Comlurb – Fórum Leopoldina – Contrapartida Prefeitura Rio de Janeiro.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logístico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gestão do patrimônio – Fase 3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Aprimorar funcionalidades dos sistemas do DEPAM, possibilitando integração entre gestão patrimonial, almoxarifado e compras.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Tecnologia da Informação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infraestrutura dos equipamentos de TI</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Atualização do Parque Tecnológico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 xml:space="preserve">Atualização do parque tecnológico, compreendendo a substituição de: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Em 2017, 2.330 microcomputadores, de 1.536 impressoras e de 539 scanners fora de garantia, 612 switches de acesso, 2 balanceadores de aplicação, 1 storage,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Em 2018: 2.330 microcomputadores, de 1.500 impressoras e de 950 scanners e 1.000 notebook fora de garantia, 2 Switches Data Center e aquisição de 2 switches Core, 612 switches de acesso e Contratação de dois circuitos de acesso à internet. Nova contratação de circuitos de dados de longa distância.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dos sistemas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Estudo técnico para atualização do sistema informatizado administrativo (Processo Administrativo Eletrônico) </w:t>
      </w:r>
      <w:r w:rsidRPr="00BE1D40">
        <w:rPr>
          <w:rFonts w:ascii="Verdana" w:eastAsia="Times New Roman" w:hAnsi="Verdana" w:cs="Arial"/>
          <w:sz w:val="16"/>
          <w:szCs w:val="13"/>
          <w:lang w:eastAsia="pt-BR"/>
        </w:rPr>
        <w:noBreakHyphen/>
        <w:t xml:space="preserve">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Estudo e pesquisa de nova solução tecnológica para o tratamento de processos administrativos do TJERJ.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Estudo técnico para atualização dos sistemas informatizados de 1º e 2º Graus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Estudo e pesquisa de nova solução tecnológica para os sistemas judiciais de 1º e 2º graus.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32"/>
          <w:lang w:eastAsia="pt-BR"/>
        </w:rPr>
        <w:t xml:space="preserve">Tema </w:t>
      </w:r>
      <w:r w:rsidRPr="00BE1D40">
        <w:rPr>
          <w:rFonts w:ascii="Verdana" w:eastAsia="Times New Roman" w:hAnsi="Verdana" w:cs="Arial"/>
          <w:sz w:val="16"/>
          <w:szCs w:val="13"/>
          <w:lang w:eastAsia="pt-BR"/>
        </w:rPr>
        <w:t>Orçamento e Finanças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Governança Financeira e Orçamentária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Modernização da Gestão Fiscal (continuidade)</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Integrar ações de planejamento, controle e execução orçamentária, financeira e contábil, visando ao aperfeiçoamento dos processos de trabalho, treinamento e alocação eficiente de pessoas e captação e melhoria dos recursos de TI.</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Racionalização do Acervo Arquivístico do PJERJ – Documentos Administrativos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Escopo: </w:t>
      </w:r>
      <w:r w:rsidRPr="00BE1D40">
        <w:rPr>
          <w:rFonts w:ascii="Verdana" w:eastAsia="Times New Roman" w:hAnsi="Verdana" w:cs="Arial"/>
          <w:sz w:val="16"/>
          <w:szCs w:val="13"/>
          <w:lang w:eastAsia="pt-BR"/>
        </w:rPr>
        <w:t>Seleção, avaliação e descarte de documentos administrativos armazenados na Rede de Arquivos do PJERJ com aplicação do Código de Classificação de Documentos (CCD) e da Tabela de Temporalidade de Documentos (TTD).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6 Monitoramento do Planejamento Estratégico</w:t>
      </w:r>
      <w:bookmarkStart w:id="2" w:name="_Toc367445814"/>
    </w:p>
    <w:bookmarkEnd w:id="2"/>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monitoramento da estratégia institucional é realizado por meio de relatório mensal da evolução da implementação dos projetos, da medição periódica dos indicadores constantes da Matriz de Indicadores Estratégicos (Anexo III), e pelo acompanhamento dos resultados efetivos de cada Projeto.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monitoramento da estratégia pode ser realizado em Reuniões Periódicas, por meio de relatórios periódicos, Relatórios de Informações Gerenciais (RIGER), reuniões da COGEP ou outros meios que a Administração Superior entenda convenientes e necessários para a adequada implementação da estratégia institucional.</w:t>
      </w: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13"/>
          <w:lang w:eastAsia="pt-BR"/>
        </w:rPr>
        <w:t>7 Considerações Finais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atual Plano Estratégico é resultado de ampla reflexão acerca das peculiaridades do Judiciário Fluminense e caracteriza um avanço na gestão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Plano Estratégico deve ser visto como um instrumento dinâmico de gestão, que contém as linhas de atuação a serem seguidas pelo PJERJ e são passíveis de modificação à medida que o cenário interno e externo se modifica.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planejamento não diz respeito a decisões futuras, mas às implicações futuras das decisões presentes”.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noBreakHyphen/>
        <w:t xml:space="preserve"> Peter Drucker </w:t>
      </w:r>
      <w:r w:rsidRPr="00BE1D40">
        <w:rPr>
          <w:rFonts w:ascii="Verdana" w:eastAsia="Times New Roman" w:hAnsi="Verdana" w:cs="Arial"/>
          <w:sz w:val="16"/>
          <w:szCs w:val="13"/>
          <w:lang w:eastAsia="pt-BR"/>
        </w:rPr>
        <w:noBreakHyphen/>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bookmarkStart w:id="3" w:name="2946286_e"/>
      <w:bookmarkStart w:id="4" w:name="2946287_b"/>
      <w:bookmarkEnd w:id="3"/>
      <w:bookmarkEnd w:id="4"/>
      <w:r w:rsidRPr="00BE1D40">
        <w:rPr>
          <w:rFonts w:ascii="Verdana" w:eastAsia="Times New Roman" w:hAnsi="Verdana" w:cs="Times New Roman"/>
          <w:b/>
          <w:sz w:val="16"/>
          <w:szCs w:val="24"/>
          <w:lang w:eastAsia="pt-BR"/>
        </w:rPr>
        <w:lastRenderedPageBreak/>
        <w:t>id: 2946287</w:t>
      </w:r>
      <w:r w:rsidRPr="00BE1D40">
        <w:rPr>
          <w:rFonts w:ascii="Verdana" w:eastAsia="Times New Roman" w:hAnsi="Verdana" w:cs="Times New Roman"/>
          <w:sz w:val="16"/>
          <w:szCs w:val="24"/>
          <w:lang w:eastAsia="pt-BR"/>
        </w:rPr>
        <w:t xml:space="preserve"> </w:t>
      </w:r>
    </w:p>
    <w:p w:rsidR="00BE1D40" w:rsidRPr="00BE1D40" w:rsidRDefault="00BE1D40" w:rsidP="00BE1D40">
      <w:pPr>
        <w:widowControl w:val="0"/>
        <w:autoSpaceDE w:val="0"/>
        <w:autoSpaceDN w:val="0"/>
        <w:adjustRightInd w:val="0"/>
        <w:spacing w:after="0" w:line="240" w:lineRule="auto"/>
        <w:rPr>
          <w:rFonts w:ascii="Verdana" w:eastAsia="Times New Roman" w:hAnsi="Verdana" w:cs="Arial"/>
          <w:sz w:val="16"/>
          <w:szCs w:val="13"/>
          <w:lang w:eastAsia="pt-BR"/>
        </w:rPr>
      </w:pPr>
    </w:p>
    <w:p w:rsidR="00BE1D40" w:rsidRPr="00BE1D40" w:rsidRDefault="00BE1D40" w:rsidP="00BE1D40">
      <w:pPr>
        <w:spacing w:after="0" w:line="240" w:lineRule="auto"/>
        <w:rPr>
          <w:rFonts w:ascii="Verdana" w:eastAsia="Times New Roman" w:hAnsi="Verdana" w:cs="Arial"/>
          <w:sz w:val="16"/>
          <w:szCs w:val="13"/>
          <w:lang w:eastAsia="pt-BR"/>
        </w:rPr>
      </w:pPr>
    </w:p>
    <w:tbl>
      <w:tblPr>
        <w:tblW w:w="10771" w:type="dxa"/>
        <w:tblLayout w:type="fixed"/>
        <w:tblCellMar>
          <w:left w:w="0" w:type="dxa"/>
          <w:right w:w="0" w:type="dxa"/>
        </w:tblCellMar>
        <w:tblLook w:val="04A0" w:firstRow="1" w:lastRow="0" w:firstColumn="1" w:lastColumn="0" w:noHBand="0" w:noVBand="1"/>
      </w:tblPr>
      <w:tblGrid>
        <w:gridCol w:w="7021"/>
        <w:gridCol w:w="1230"/>
        <w:gridCol w:w="1290"/>
        <w:gridCol w:w="1230"/>
      </w:tblGrid>
      <w:tr w:rsidR="00BE1D40" w:rsidRPr="00BE1D40" w:rsidTr="00997239">
        <w:trPr>
          <w:cantSplit/>
          <w:trHeight w:val="57"/>
        </w:trPr>
        <w:tc>
          <w:tcPr>
            <w:tcW w:w="9582" w:type="dxa"/>
            <w:gridSpan w:val="4"/>
            <w:tcBorders>
              <w:top w:val="nil"/>
              <w:left w:val="nil"/>
              <w:bottom w:val="nil"/>
              <w:right w:val="nil"/>
            </w:tcBorders>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32"/>
                <w:lang w:eastAsia="pt-BR"/>
              </w:rPr>
            </w:pPr>
            <w:bookmarkStart w:id="5" w:name="RANGE!A1:D95"/>
            <w:bookmarkEnd w:id="5"/>
            <w:r w:rsidRPr="00BE1D40">
              <w:rPr>
                <w:rFonts w:ascii="Verdana" w:eastAsia="Times New Roman" w:hAnsi="Verdana" w:cs="Arial"/>
                <w:b/>
                <w:bCs/>
                <w:sz w:val="16"/>
                <w:szCs w:val="32"/>
                <w:lang w:eastAsia="pt-BR"/>
              </w:rPr>
              <w:t>ANEXO II</w:t>
            </w:r>
          </w:p>
        </w:tc>
      </w:tr>
      <w:tr w:rsidR="00BE1D40" w:rsidRPr="00BE1D40" w:rsidTr="00997239">
        <w:trPr>
          <w:cantSplit/>
          <w:trHeight w:val="57"/>
        </w:trPr>
        <w:tc>
          <w:tcPr>
            <w:tcW w:w="9582" w:type="dxa"/>
            <w:gridSpan w:val="4"/>
            <w:tcBorders>
              <w:top w:val="single" w:sz="4" w:space="0" w:color="auto"/>
              <w:left w:val="single" w:sz="4" w:space="0" w:color="auto"/>
              <w:bottom w:val="single" w:sz="4" w:space="0" w:color="auto"/>
              <w:right w:val="single" w:sz="4" w:space="0" w:color="000000"/>
            </w:tcBorders>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32"/>
                <w:lang w:eastAsia="pt-BR"/>
              </w:rPr>
            </w:pPr>
            <w:r w:rsidRPr="00BE1D40">
              <w:rPr>
                <w:rFonts w:ascii="Verdana" w:eastAsia="Times New Roman" w:hAnsi="Verdana" w:cs="Arial"/>
                <w:b/>
                <w:bCs/>
                <w:sz w:val="16"/>
                <w:szCs w:val="32"/>
                <w:lang w:eastAsia="pt-BR"/>
              </w:rPr>
              <w:t xml:space="preserve">PLANO DE AÇÃO GOVERNAMENTAL </w:t>
            </w:r>
            <w:r w:rsidRPr="00BE1D40">
              <w:rPr>
                <w:rFonts w:ascii="Verdana" w:eastAsia="Times New Roman" w:hAnsi="Verdana" w:cs="Arial"/>
                <w:b/>
                <w:bCs/>
                <w:sz w:val="16"/>
                <w:szCs w:val="32"/>
                <w:lang w:eastAsia="pt-BR"/>
              </w:rPr>
              <w:noBreakHyphen/>
              <w:t xml:space="preserve"> PAG Biênio 2017</w:t>
            </w:r>
            <w:r w:rsidRPr="00BE1D40">
              <w:rPr>
                <w:rFonts w:ascii="Verdana" w:eastAsia="Times New Roman" w:hAnsi="Verdana" w:cs="Arial"/>
                <w:b/>
                <w:bCs/>
                <w:sz w:val="16"/>
                <w:szCs w:val="32"/>
                <w:lang w:eastAsia="pt-BR"/>
              </w:rPr>
              <w:noBreakHyphen/>
              <w:t xml:space="preserve">2018 </w:t>
            </w:r>
            <w:r w:rsidRPr="00BE1D40">
              <w:rPr>
                <w:rFonts w:ascii="Verdana" w:eastAsia="Times New Roman" w:hAnsi="Verdana" w:cs="Arial"/>
                <w:b/>
                <w:bCs/>
                <w:sz w:val="16"/>
                <w:szCs w:val="32"/>
                <w:lang w:eastAsia="pt-BR"/>
              </w:rPr>
              <w:noBreakHyphen/>
              <w:t xml:space="preserve"> CONSOLIDADO</w:t>
            </w:r>
          </w:p>
        </w:tc>
      </w:tr>
      <w:tr w:rsidR="00BE1D40" w:rsidRPr="00BE1D40" w:rsidTr="00997239">
        <w:trPr>
          <w:cantSplit/>
          <w:trHeight w:val="57"/>
        </w:trPr>
        <w:tc>
          <w:tcPr>
            <w:tcW w:w="9582" w:type="dxa"/>
            <w:gridSpan w:val="4"/>
            <w:tcBorders>
              <w:top w:val="single" w:sz="4" w:space="0" w:color="auto"/>
              <w:left w:val="single" w:sz="4" w:space="0" w:color="auto"/>
              <w:bottom w:val="single" w:sz="4" w:space="0" w:color="auto"/>
              <w:right w:val="single" w:sz="4" w:space="0" w:color="000000"/>
            </w:tcBorders>
            <w:noWrap/>
            <w:vAlign w:val="center"/>
          </w:tcPr>
          <w:p w:rsidR="00BE1D40" w:rsidRPr="00BE1D40" w:rsidRDefault="00BE1D40" w:rsidP="00BE1D40">
            <w:pPr>
              <w:spacing w:after="0" w:line="240" w:lineRule="auto"/>
              <w:jc w:val="center"/>
              <w:rPr>
                <w:rFonts w:ascii="Verdana" w:eastAsia="Times New Roman" w:hAnsi="Verdana" w:cs="Arial"/>
                <w:b/>
                <w:bCs/>
                <w:sz w:val="16"/>
                <w:szCs w:val="32"/>
                <w:lang w:eastAsia="pt-BR"/>
              </w:rPr>
            </w:pP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24"/>
                <w:lang w:eastAsia="pt-BR"/>
              </w:rPr>
            </w:pPr>
            <w:r w:rsidRPr="00BE1D40">
              <w:rPr>
                <w:rFonts w:ascii="Verdana" w:eastAsia="Times New Roman" w:hAnsi="Verdana" w:cs="Arial"/>
                <w:b/>
                <w:bCs/>
                <w:sz w:val="16"/>
                <w:szCs w:val="24"/>
                <w:lang w:eastAsia="pt-BR"/>
              </w:rPr>
              <w:t>PROGRAMA PAG</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24"/>
                <w:lang w:eastAsia="pt-BR"/>
              </w:rPr>
            </w:pPr>
            <w:r w:rsidRPr="00BE1D40">
              <w:rPr>
                <w:rFonts w:ascii="Verdana" w:eastAsia="Times New Roman" w:hAnsi="Verdana" w:cs="Arial"/>
                <w:b/>
                <w:bCs/>
                <w:sz w:val="16"/>
                <w:szCs w:val="24"/>
                <w:lang w:eastAsia="pt-BR"/>
              </w:rPr>
              <w:t>2017</w:t>
            </w:r>
          </w:p>
        </w:tc>
        <w:tc>
          <w:tcPr>
            <w:tcW w:w="1148" w:type="dxa"/>
            <w:tcBorders>
              <w:top w:val="nil"/>
              <w:left w:val="nil"/>
              <w:bottom w:val="single" w:sz="4" w:space="0" w:color="auto"/>
              <w:right w:val="nil"/>
            </w:tcBorders>
            <w:shd w:val="clear" w:color="000000" w:fill="auto"/>
            <w:vAlign w:val="center"/>
            <w:hideMark/>
          </w:tcPr>
          <w:p w:rsidR="00BE1D40" w:rsidRPr="00BE1D40" w:rsidRDefault="00BE1D40" w:rsidP="00BE1D40">
            <w:pPr>
              <w:spacing w:after="0" w:line="240" w:lineRule="auto"/>
              <w:jc w:val="center"/>
              <w:rPr>
                <w:rFonts w:ascii="Verdana" w:eastAsia="Times New Roman" w:hAnsi="Verdana" w:cs="Arial"/>
                <w:b/>
                <w:bCs/>
                <w:sz w:val="16"/>
                <w:szCs w:val="24"/>
                <w:lang w:eastAsia="pt-BR"/>
              </w:rPr>
            </w:pPr>
            <w:r w:rsidRPr="00BE1D40">
              <w:rPr>
                <w:rFonts w:ascii="Verdana" w:eastAsia="Times New Roman" w:hAnsi="Verdana" w:cs="Arial"/>
                <w:b/>
                <w:bCs/>
                <w:sz w:val="16"/>
                <w:szCs w:val="24"/>
                <w:lang w:eastAsia="pt-BR"/>
              </w:rPr>
              <w:t>2018</w:t>
            </w:r>
          </w:p>
        </w:tc>
        <w:tc>
          <w:tcPr>
            <w:tcW w:w="1094" w:type="dxa"/>
            <w:tcBorders>
              <w:top w:val="nil"/>
              <w:left w:val="nil"/>
              <w:bottom w:val="single" w:sz="4" w:space="0" w:color="auto"/>
              <w:right w:val="single" w:sz="4" w:space="0" w:color="auto"/>
            </w:tcBorders>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24"/>
                <w:lang w:eastAsia="pt-BR"/>
              </w:rPr>
            </w:pPr>
            <w:r w:rsidRPr="00BE1D40">
              <w:rPr>
                <w:rFonts w:ascii="Verdana" w:eastAsia="Times New Roman" w:hAnsi="Verdana" w:cs="Arial"/>
                <w:b/>
                <w:bCs/>
                <w:sz w:val="16"/>
                <w:szCs w:val="24"/>
                <w:lang w:eastAsia="pt-BR"/>
              </w:rPr>
              <w:t>Total</w:t>
            </w:r>
          </w:p>
        </w:tc>
      </w:tr>
      <w:tr w:rsidR="00BE1D40" w:rsidRPr="00BE1D40" w:rsidTr="00997239">
        <w:trPr>
          <w:cantSplit/>
          <w:trHeight w:val="57"/>
        </w:trPr>
        <w:tc>
          <w:tcPr>
            <w:tcW w:w="6246" w:type="dxa"/>
            <w:tcBorders>
              <w:top w:val="nil"/>
              <w:left w:val="single" w:sz="4" w:space="0" w:color="auto"/>
              <w:bottom w:val="nil"/>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6"/>
                <w:lang w:eastAsia="pt-BR"/>
              </w:rPr>
            </w:pPr>
            <w:r w:rsidRPr="00BE1D40">
              <w:rPr>
                <w:rFonts w:ascii="Verdana" w:eastAsia="Times New Roman" w:hAnsi="Verdana" w:cs="Arial"/>
                <w:b/>
                <w:bCs/>
                <w:sz w:val="16"/>
                <w:szCs w:val="16"/>
                <w:lang w:eastAsia="pt-BR"/>
              </w:rPr>
              <w:t xml:space="preserve"> </w:t>
            </w:r>
          </w:p>
        </w:tc>
        <w:tc>
          <w:tcPr>
            <w:tcW w:w="1094" w:type="dxa"/>
            <w:tcBorders>
              <w:top w:val="nil"/>
              <w:left w:val="nil"/>
              <w:bottom w:val="nil"/>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16"/>
                <w:lang w:eastAsia="pt-BR"/>
              </w:rPr>
            </w:pPr>
          </w:p>
        </w:tc>
        <w:tc>
          <w:tcPr>
            <w:tcW w:w="1148" w:type="dxa"/>
            <w:tcBorders>
              <w:top w:val="nil"/>
              <w:left w:val="nil"/>
              <w:bottom w:val="nil"/>
              <w:right w:val="nil"/>
            </w:tcBorders>
            <w:shd w:val="clear" w:color="000000" w:fill="auto"/>
            <w:vAlign w:val="center"/>
            <w:hideMark/>
          </w:tcPr>
          <w:p w:rsidR="00BE1D40" w:rsidRPr="00BE1D40" w:rsidRDefault="00BE1D40" w:rsidP="00BE1D40">
            <w:pPr>
              <w:spacing w:after="0" w:line="240" w:lineRule="auto"/>
              <w:jc w:val="center"/>
              <w:rPr>
                <w:rFonts w:ascii="Verdana" w:eastAsia="Times New Roman" w:hAnsi="Verdana" w:cs="Arial"/>
                <w:b/>
                <w:bCs/>
                <w:sz w:val="16"/>
                <w:szCs w:val="16"/>
                <w:lang w:eastAsia="pt-BR"/>
              </w:rPr>
            </w:pPr>
          </w:p>
        </w:tc>
        <w:tc>
          <w:tcPr>
            <w:tcW w:w="1094" w:type="dxa"/>
            <w:tcBorders>
              <w:top w:val="nil"/>
              <w:left w:val="nil"/>
              <w:bottom w:val="nil"/>
              <w:right w:val="single" w:sz="4" w:space="0" w:color="auto"/>
            </w:tcBorders>
            <w:noWrap/>
            <w:vAlign w:val="center"/>
            <w:hideMark/>
          </w:tcPr>
          <w:p w:rsidR="00BE1D40" w:rsidRPr="00BE1D40" w:rsidRDefault="00BE1D40" w:rsidP="00BE1D40">
            <w:pPr>
              <w:spacing w:after="0" w:line="240" w:lineRule="auto"/>
              <w:jc w:val="center"/>
              <w:rPr>
                <w:rFonts w:ascii="Verdana" w:eastAsia="Times New Roman" w:hAnsi="Verdana" w:cs="Arial"/>
                <w:b/>
                <w:bCs/>
                <w:sz w:val="16"/>
                <w:szCs w:val="16"/>
                <w:lang w:eastAsia="pt-BR"/>
              </w:rPr>
            </w:pPr>
          </w:p>
        </w:tc>
      </w:tr>
      <w:tr w:rsidR="00BE1D40" w:rsidRPr="00BE1D40" w:rsidTr="00997239">
        <w:trPr>
          <w:cantSplit/>
          <w:trHeight w:val="57"/>
        </w:trPr>
        <w:tc>
          <w:tcPr>
            <w:tcW w:w="6246" w:type="dxa"/>
            <w:tcBorders>
              <w:top w:val="single" w:sz="4" w:space="0" w:color="auto"/>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1 </w:t>
            </w:r>
            <w:r w:rsidRPr="00BE1D40">
              <w:rPr>
                <w:rFonts w:ascii="Verdana" w:eastAsia="Times New Roman" w:hAnsi="Verdana" w:cs="Arial"/>
                <w:b/>
                <w:bCs/>
                <w:sz w:val="16"/>
                <w:szCs w:val="13"/>
                <w:lang w:eastAsia="pt-BR"/>
              </w:rPr>
              <w:noBreakHyphen/>
              <w:t xml:space="preserve"> APRIMORAMENTO DO SISTEMA DOS JUIZADOS ESPECIAIS</w:t>
            </w:r>
          </w:p>
        </w:tc>
        <w:tc>
          <w:tcPr>
            <w:tcW w:w="1094" w:type="dxa"/>
            <w:tcBorders>
              <w:top w:val="single" w:sz="4" w:space="0" w:color="auto"/>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14.000.000</w:t>
            </w:r>
          </w:p>
        </w:tc>
        <w:tc>
          <w:tcPr>
            <w:tcW w:w="1148" w:type="dxa"/>
            <w:tcBorders>
              <w:top w:val="single" w:sz="4" w:space="0" w:color="auto"/>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15.000.000</w:t>
            </w:r>
          </w:p>
        </w:tc>
        <w:tc>
          <w:tcPr>
            <w:tcW w:w="1094" w:type="dxa"/>
            <w:tcBorders>
              <w:top w:val="single" w:sz="4" w:space="0" w:color="auto"/>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29.000.000</w:t>
            </w:r>
          </w:p>
        </w:tc>
      </w:tr>
      <w:tr w:rsidR="00BE1D40" w:rsidRPr="00BE1D40" w:rsidTr="00997239">
        <w:trPr>
          <w:cantSplit/>
          <w:trHeight w:val="57"/>
        </w:trPr>
        <w:tc>
          <w:tcPr>
            <w:tcW w:w="6246" w:type="dxa"/>
            <w:tcBorders>
              <w:top w:val="single" w:sz="4" w:space="0" w:color="auto"/>
              <w:left w:val="single" w:sz="4" w:space="0" w:color="auto"/>
              <w:bottom w:val="single" w:sz="4" w:space="0" w:color="auto"/>
              <w:right w:val="nil"/>
            </w:tcBorders>
            <w:shd w:val="clear" w:color="000000" w:fill="auto"/>
            <w:noWrap/>
            <w:vAlign w:val="center"/>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PROJETO ESTRATÉGICO</w:t>
            </w:r>
          </w:p>
        </w:tc>
        <w:tc>
          <w:tcPr>
            <w:tcW w:w="1094" w:type="dxa"/>
            <w:tcBorders>
              <w:top w:val="single" w:sz="4" w:space="0" w:color="auto"/>
              <w:left w:val="nil"/>
              <w:bottom w:val="single" w:sz="4" w:space="0" w:color="auto"/>
              <w:right w:val="nil"/>
            </w:tcBorders>
            <w:shd w:val="clear" w:color="000000" w:fill="auto"/>
            <w:noWrap/>
            <w:vAlign w:val="center"/>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p>
        </w:tc>
        <w:tc>
          <w:tcPr>
            <w:tcW w:w="1148" w:type="dxa"/>
            <w:tcBorders>
              <w:top w:val="single" w:sz="4" w:space="0" w:color="auto"/>
              <w:left w:val="nil"/>
              <w:bottom w:val="single" w:sz="4" w:space="0" w:color="auto"/>
              <w:right w:val="nil"/>
            </w:tcBorders>
            <w:shd w:val="clear" w:color="000000" w:fill="auto"/>
            <w:noWrap/>
            <w:vAlign w:val="center"/>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p>
        </w:tc>
        <w:tc>
          <w:tcPr>
            <w:tcW w:w="1094" w:type="dxa"/>
            <w:tcBorders>
              <w:top w:val="single" w:sz="4" w:space="0" w:color="auto"/>
              <w:left w:val="nil"/>
              <w:bottom w:val="single" w:sz="4" w:space="0" w:color="auto"/>
              <w:right w:val="single" w:sz="4" w:space="0" w:color="auto"/>
            </w:tcBorders>
            <w:shd w:val="clear" w:color="000000" w:fill="auto"/>
            <w:noWrap/>
            <w:vAlign w:val="center"/>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Ampliação do Processo Judicial Eletrônico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AÇÃO OPERACIONAL</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14.000.000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15.000.000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29.000.000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Bolsa de Estudo de Juiz Leigo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14.000.000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15.000.000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29.000.000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2 </w:t>
            </w:r>
            <w:r w:rsidRPr="00BE1D40">
              <w:rPr>
                <w:rFonts w:ascii="Verdana" w:eastAsia="Times New Roman" w:hAnsi="Verdana" w:cs="Arial"/>
                <w:b/>
                <w:bCs/>
                <w:sz w:val="16"/>
                <w:szCs w:val="13"/>
                <w:lang w:eastAsia="pt-BR"/>
              </w:rPr>
              <w:noBreakHyphen/>
              <w:t xml:space="preserve"> RACIONALIZAÇÃO DA PRESTAÇÃO JURISDICIONAL</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9.000.000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20.000.000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PROJETOS ESTRATÉGICOS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Implementação das Audiências de Custódia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Aprimoramento dos Mecanismos de Mediação e dos Métodos não Adversariais de Solução de Conflitos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Multiplicação do Protocolo Violeta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Reestruturação da Central de Testamentaria e Tutoria Judicial</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Aprimoramento da Gestão da Vara de Execuções Penais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Aprimoramento do Modelo de Gestão da Dívida Ativa</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Fomentar a Redução da Taxa de Congestionamento nas Serventias Judiciais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Operacionalizar Ações que Visem à Erradicação da Sub</w:t>
            </w:r>
            <w:r w:rsidRPr="00BE1D40">
              <w:rPr>
                <w:rFonts w:ascii="Verdana" w:eastAsia="Times New Roman" w:hAnsi="Verdana" w:cs="Arial"/>
                <w:b/>
                <w:bCs/>
                <w:sz w:val="16"/>
                <w:szCs w:val="13"/>
                <w:lang w:eastAsia="pt-BR"/>
              </w:rPr>
              <w:noBreakHyphen/>
              <w:t>identificação de Óbitos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AÇÃO OPERACIONAL</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9.000.000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20.000.000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Fortalecimento de Perícias </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9.000.000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20.000.000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3 </w:t>
            </w:r>
            <w:r w:rsidRPr="00BE1D40">
              <w:rPr>
                <w:rFonts w:ascii="Verdana" w:eastAsia="Times New Roman" w:hAnsi="Verdana" w:cs="Arial"/>
                <w:b/>
                <w:bCs/>
                <w:sz w:val="16"/>
                <w:szCs w:val="13"/>
                <w:lang w:eastAsia="pt-BR"/>
              </w:rPr>
              <w:noBreakHyphen/>
              <w:t xml:space="preserve"> GESTÃO CORPORATIVA DA TECNOLOGIA DA INFORMAÇÃO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46.070.000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66.250.000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112.320.000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PROJETOS ESTRATÉGICOS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46.070.000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66.250.000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112.320.000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Ampliação do Processo Judicial Eletrônico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Portal do Conhecimento do TJERJ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2.250.000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2.250.000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Efetividade dos Indicadores Jurisdicionais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Implementação do Novo Sistema GPES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Aprimoramento da Gestão do Patrimônio </w:t>
            </w:r>
            <w:r w:rsidRPr="00BE1D40">
              <w:rPr>
                <w:rFonts w:ascii="Verdana" w:eastAsia="Times New Roman" w:hAnsi="Verdana" w:cs="Arial"/>
                <w:b/>
                <w:bCs/>
                <w:sz w:val="16"/>
                <w:szCs w:val="13"/>
                <w:lang w:eastAsia="pt-BR"/>
              </w:rPr>
              <w:noBreakHyphen/>
              <w:t xml:space="preserve"> Fase 3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Atualização do Parque Tecnológico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44.070.000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60.000.000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104.070.000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Estudo Técnico para Atualização do Sistema Informatizado Administrativo (Processo Administrativo Eletrônico)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Modernização da Gestão Fiscal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4.000.000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6.000.000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Aperfeiçoamento da Classificação dos Processos Judiciais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Desenvolvimento da Certidão Eletrônica de Registro de Distribuição dos Feitos Judiciais Expedida pelos Distribuidores, Contadores e Partidores (DCP) do Estado do Rio de Janeiro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Implementação do Sistema de Monitoramento nas Centrais de Penas e Medidas Alternativas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Estudo Técnico para Atualização dos Sistemas Informatizados de 1º e 2º grau</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i/>
                <w:iCs/>
                <w:sz w:val="16"/>
                <w:szCs w:val="13"/>
                <w:lang w:eastAsia="pt-BR"/>
              </w:rPr>
            </w:pPr>
            <w:r w:rsidRPr="00BE1D40">
              <w:rPr>
                <w:rFonts w:ascii="Verdana" w:eastAsia="Times New Roman" w:hAnsi="Verdana" w:cs="Arial"/>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Racionalização do Acervo Arquivístico do PJERJ </w:t>
            </w:r>
            <w:r w:rsidRPr="00BE1D40">
              <w:rPr>
                <w:rFonts w:ascii="Verdana" w:eastAsia="Times New Roman" w:hAnsi="Verdana" w:cs="Arial"/>
                <w:b/>
                <w:bCs/>
                <w:sz w:val="16"/>
                <w:szCs w:val="13"/>
                <w:lang w:eastAsia="pt-BR"/>
              </w:rPr>
              <w:noBreakHyphen/>
              <w:t xml:space="preserve"> Documentos Administrativos </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4 </w:t>
            </w:r>
            <w:r w:rsidRPr="00BE1D40">
              <w:rPr>
                <w:rFonts w:ascii="Verdana" w:eastAsia="Times New Roman" w:hAnsi="Verdana" w:cs="Arial"/>
                <w:b/>
                <w:bCs/>
                <w:sz w:val="16"/>
                <w:szCs w:val="13"/>
                <w:lang w:eastAsia="pt-BR"/>
              </w:rPr>
              <w:noBreakHyphen/>
              <w:t xml:space="preserve"> INFRAESTRUTURA E SEGURANÇA DAS EDIFICAÇÕES DO PODER JUDICIÁRIO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96.250.000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84.120.000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180.370.000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PROJETOS ESTRATÉGICOS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93.550.000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84.120.000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177.670.000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Aprimorar a Segurança nas Instalações Físicas do PJERJ com a Implementação do Sistema de Controle de Acesso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3.400.000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1.200.000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4.600.000</w:t>
            </w:r>
          </w:p>
        </w:tc>
      </w:tr>
      <w:tr w:rsidR="00BE1D40" w:rsidRPr="00BE1D40" w:rsidTr="00997239">
        <w:trPr>
          <w:cantSplit/>
          <w:trHeight w:val="57"/>
        </w:trPr>
        <w:tc>
          <w:tcPr>
            <w:tcW w:w="6246" w:type="dxa"/>
            <w:tcBorders>
              <w:top w:val="single" w:sz="4" w:space="0" w:color="auto"/>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Mapear Áreas de Acessibilidade nos Fóruns do Estado do Rio de Janeiro </w:t>
            </w:r>
          </w:p>
        </w:tc>
        <w:tc>
          <w:tcPr>
            <w:tcW w:w="1094" w:type="dxa"/>
            <w:tcBorders>
              <w:top w:val="single" w:sz="4" w:space="0" w:color="auto"/>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single" w:sz="4" w:space="0" w:color="auto"/>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single" w:sz="4" w:space="0" w:color="auto"/>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Expansão do Sistema de Videoconferência nas Audiências nas Varas Criminais do PJERJ</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2.000.000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110.000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2.110.000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Plano de Obras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88.150.000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82.810.000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170.960.000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AÇÕES OPERACIONAIS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2.700.000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2.700.000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Substituição do Sistema de Ar Condicionado do Fórum Regional de Jacarepaguá</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2.100.000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2.100.000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Substituição do Sistema de Ar Condicionado do Fórum da Comarca de São Gonçalo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600.000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600.000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 xml:space="preserve">5 </w:t>
            </w:r>
            <w:r w:rsidRPr="00BE1D40">
              <w:rPr>
                <w:rFonts w:ascii="Verdana" w:eastAsia="Times New Roman" w:hAnsi="Verdana" w:cs="Arial"/>
                <w:b/>
                <w:bCs/>
                <w:sz w:val="16"/>
                <w:szCs w:val="13"/>
                <w:lang w:eastAsia="pt-BR"/>
              </w:rPr>
              <w:noBreakHyphen/>
              <w:t xml:space="preserve"> DESENVOLVIMENTO DAS POLÍTICAS INSTITUCIONAIS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PROJETOS ESTRATÉGICOS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Aprimoramento da Governança Institucional Através do Fortalecimento dos Controles Internos, da Auditoria Interna e da Gestão de Riscos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Plano de Valorização da Primeira Infância (continuidade)</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Erradicação do Sub</w:t>
            </w:r>
            <w:r w:rsidRPr="00BE1D40">
              <w:rPr>
                <w:rFonts w:ascii="Verdana" w:eastAsia="Times New Roman" w:hAnsi="Verdana" w:cs="Arial"/>
                <w:b/>
                <w:bCs/>
                <w:sz w:val="16"/>
                <w:szCs w:val="13"/>
                <w:lang w:eastAsia="pt-BR"/>
              </w:rPr>
              <w:noBreakHyphen/>
              <w:t>Registro no Sistema Carcerário</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Programa Integrado de Gestão de Pessoas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lastRenderedPageBreak/>
              <w:t>Depoimento Especial de Crianças e Adolescentes Vítimas ou Testemunhas de Crimes</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470.000</w:t>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Implementação das Casas de Família</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noBreakHyphen/>
            </w:r>
          </w:p>
        </w:tc>
      </w:tr>
      <w:tr w:rsidR="00BE1D40" w:rsidRPr="00BE1D40" w:rsidTr="00997239">
        <w:trPr>
          <w:cantSplit/>
          <w:trHeight w:val="57"/>
        </w:trPr>
        <w:tc>
          <w:tcPr>
            <w:tcW w:w="6246" w:type="dxa"/>
            <w:tcBorders>
              <w:top w:val="nil"/>
              <w:left w:val="single" w:sz="4" w:space="0" w:color="auto"/>
              <w:bottom w:val="single" w:sz="4" w:space="0" w:color="auto"/>
              <w:right w:val="nil"/>
            </w:tcBorders>
            <w:shd w:val="clear" w:color="000000" w:fill="auto"/>
            <w:noWrap/>
            <w:vAlign w:val="center"/>
            <w:hideMark/>
          </w:tcPr>
          <w:p w:rsidR="00BE1D40" w:rsidRPr="00BE1D40" w:rsidRDefault="00BE1D40" w:rsidP="00BE1D40">
            <w:pPr>
              <w:spacing w:after="0" w:line="240" w:lineRule="auto"/>
              <w:rPr>
                <w:rFonts w:ascii="Verdana" w:eastAsia="Times New Roman" w:hAnsi="Verdana" w:cs="Arial"/>
                <w:b/>
                <w:bCs/>
                <w:sz w:val="16"/>
                <w:szCs w:val="13"/>
                <w:lang w:eastAsia="pt-BR"/>
              </w:rPr>
            </w:pPr>
            <w:r w:rsidRPr="00BE1D40">
              <w:rPr>
                <w:rFonts w:ascii="Verdana" w:eastAsia="Times New Roman" w:hAnsi="Verdana" w:cs="Arial"/>
                <w:b/>
                <w:bCs/>
                <w:sz w:val="16"/>
                <w:szCs w:val="13"/>
                <w:lang w:eastAsia="pt-BR"/>
              </w:rPr>
              <w:t>Total Geral</w:t>
            </w:r>
          </w:p>
        </w:tc>
        <w:tc>
          <w:tcPr>
            <w:tcW w:w="1094"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165.790.000</w:t>
            </w:r>
          </w:p>
        </w:tc>
        <w:tc>
          <w:tcPr>
            <w:tcW w:w="1148" w:type="dxa"/>
            <w:tcBorders>
              <w:top w:val="nil"/>
              <w:left w:val="nil"/>
              <w:bottom w:val="single" w:sz="4" w:space="0" w:color="auto"/>
              <w:right w:val="nil"/>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176.370.000</w:t>
            </w:r>
          </w:p>
        </w:tc>
        <w:tc>
          <w:tcPr>
            <w:tcW w:w="1094" w:type="dxa"/>
            <w:tcBorders>
              <w:top w:val="nil"/>
              <w:left w:val="nil"/>
              <w:bottom w:val="single" w:sz="4" w:space="0" w:color="auto"/>
              <w:right w:val="single" w:sz="4" w:space="0" w:color="auto"/>
            </w:tcBorders>
            <w:shd w:val="clear" w:color="000000" w:fill="auto"/>
            <w:noWrap/>
            <w:vAlign w:val="center"/>
            <w:hideMark/>
          </w:tcPr>
          <w:p w:rsidR="00BE1D40" w:rsidRPr="00BE1D40" w:rsidRDefault="00BE1D40" w:rsidP="00BE1D40">
            <w:pPr>
              <w:spacing w:after="0" w:line="240" w:lineRule="auto"/>
              <w:jc w:val="center"/>
              <w:rPr>
                <w:rFonts w:ascii="Verdana" w:eastAsia="Times New Roman" w:hAnsi="Verdana" w:cs="Arial"/>
                <w:b/>
                <w:bCs/>
                <w:i/>
                <w:iCs/>
                <w:sz w:val="16"/>
                <w:szCs w:val="13"/>
                <w:lang w:eastAsia="pt-BR"/>
              </w:rPr>
            </w:pPr>
            <w:r w:rsidRPr="00BE1D40">
              <w:rPr>
                <w:rFonts w:ascii="Verdana" w:eastAsia="Times New Roman" w:hAnsi="Verdana" w:cs="Arial"/>
                <w:b/>
                <w:bCs/>
                <w:i/>
                <w:iCs/>
                <w:sz w:val="16"/>
                <w:szCs w:val="13"/>
                <w:lang w:eastAsia="pt-BR"/>
              </w:rPr>
              <w:t>342.160.000</w:t>
            </w:r>
          </w:p>
        </w:tc>
      </w:tr>
    </w:tbl>
    <w:p w:rsidR="00BE1D40" w:rsidRPr="00BE1D40" w:rsidRDefault="00BE1D40" w:rsidP="00BE1D40">
      <w:pPr>
        <w:spacing w:after="0" w:line="240" w:lineRule="auto"/>
        <w:rPr>
          <w:rFonts w:ascii="Verdana" w:eastAsia="Times New Roman" w:hAnsi="Verdana" w:cs="Arial"/>
          <w:sz w:val="16"/>
          <w:szCs w:val="13"/>
          <w:lang w:eastAsia="pt-BR"/>
        </w:rPr>
      </w:pPr>
    </w:p>
    <w:p w:rsidR="00BE1D40" w:rsidRPr="00BE1D40" w:rsidRDefault="00BE1D40" w:rsidP="00BE1D40">
      <w:pPr>
        <w:spacing w:after="0" w:line="240" w:lineRule="auto"/>
        <w:rPr>
          <w:rFonts w:ascii="Calibri" w:eastAsia="Times New Roman" w:hAnsi="Calibri" w:cs="Times New Roman"/>
          <w:lang w:eastAsia="pt-BR"/>
        </w:rPr>
      </w:pPr>
    </w:p>
    <w:p w:rsidR="00BE1D40" w:rsidRPr="00BE1D40" w:rsidRDefault="00BE1D40" w:rsidP="00BE1D40">
      <w:pPr>
        <w:spacing w:after="0" w:line="240" w:lineRule="auto"/>
        <w:jc w:val="both"/>
        <w:rPr>
          <w:rFonts w:ascii="Verdana" w:eastAsia="Times New Roman" w:hAnsi="Verdana" w:cs="Times New Roman"/>
          <w:sz w:val="16"/>
          <w:szCs w:val="24"/>
          <w:lang w:eastAsia="pt-BR"/>
        </w:rPr>
      </w:pPr>
      <w:bookmarkStart w:id="6" w:name="2946287_e"/>
      <w:bookmarkStart w:id="7" w:name="2946288_b"/>
      <w:bookmarkEnd w:id="6"/>
      <w:bookmarkEnd w:id="7"/>
      <w:r w:rsidRPr="00BE1D40">
        <w:rPr>
          <w:rFonts w:ascii="Verdana" w:eastAsia="Times New Roman" w:hAnsi="Verdana" w:cs="Times New Roman"/>
          <w:sz w:val="16"/>
          <w:szCs w:val="24"/>
          <w:lang w:eastAsia="pt-BR"/>
        </w:rPr>
        <w:t xml:space="preserve"> </w:t>
      </w:r>
    </w:p>
    <w:p w:rsidR="00BE1D40" w:rsidRPr="00BE1D40" w:rsidRDefault="00BE1D40" w:rsidP="00BE1D40">
      <w:pPr>
        <w:spacing w:after="0" w:line="240" w:lineRule="auto"/>
        <w:jc w:val="both"/>
        <w:rPr>
          <w:rFonts w:ascii="Verdana" w:eastAsia="Times New Roman" w:hAnsi="Verdana" w:cs="Times New Roman"/>
          <w:sz w:val="16"/>
          <w:szCs w:val="24"/>
          <w:lang w:eastAsia="pt-BR"/>
        </w:rPr>
      </w:pPr>
      <w:r w:rsidRPr="00BE1D40">
        <w:rPr>
          <w:rFonts w:ascii="Verdana" w:eastAsia="Times New Roman" w:hAnsi="Verdana" w:cs="Times New Roman"/>
          <w:b/>
          <w:sz w:val="16"/>
          <w:szCs w:val="24"/>
          <w:lang w:eastAsia="pt-BR"/>
        </w:rPr>
        <w:t>id: 2946288</w:t>
      </w:r>
    </w:p>
    <w:p w:rsidR="00BE1D40" w:rsidRPr="00BE1D40" w:rsidRDefault="00BE1D40" w:rsidP="00BE1D40">
      <w:pPr>
        <w:widowControl w:val="0"/>
        <w:autoSpaceDE w:val="0"/>
        <w:autoSpaceDN w:val="0"/>
        <w:adjustRightInd w:val="0"/>
        <w:spacing w:after="0" w:line="240" w:lineRule="auto"/>
        <w:rPr>
          <w:rFonts w:ascii="Verdana" w:eastAsia="Times New Roman" w:hAnsi="Verdana" w:cs="Arial"/>
          <w:sz w:val="16"/>
          <w:szCs w:val="13"/>
          <w:lang w:eastAsia="pt-BR"/>
        </w:rPr>
      </w:pPr>
      <w:r w:rsidRPr="00BE1D40">
        <w:rPr>
          <w:rFonts w:ascii="Verdana" w:eastAsia="Times New Roman" w:hAnsi="Verdana" w:cs="Times New Roman"/>
          <w:sz w:val="16"/>
          <w:szCs w:val="24"/>
          <w:lang w:eastAsia="pt-BR"/>
        </w:rPr>
        <w:t xml:space="preserve"> </w:t>
      </w:r>
    </w:p>
    <w:p w:rsidR="00BE1D40" w:rsidRPr="00BE1D40" w:rsidRDefault="00BE1D40" w:rsidP="00BE1D40">
      <w:pPr>
        <w:widowControl w:val="0"/>
        <w:autoSpaceDE w:val="0"/>
        <w:autoSpaceDN w:val="0"/>
        <w:adjustRightInd w:val="0"/>
        <w:spacing w:after="0" w:line="240" w:lineRule="auto"/>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Matriz de Indicadores Estratégicos</w:t>
      </w:r>
    </w:p>
    <w:p w:rsidR="00BE1D40" w:rsidRPr="00BE1D40" w:rsidRDefault="00BE1D40" w:rsidP="00BE1D40">
      <w:pPr>
        <w:spacing w:after="0" w:line="240" w:lineRule="auto"/>
        <w:jc w:val="center"/>
        <w:rPr>
          <w:rFonts w:ascii="Verdana" w:eastAsia="Times New Roman" w:hAnsi="Verdana" w:cs="Arial"/>
          <w:b/>
          <w:sz w:val="16"/>
          <w:szCs w:val="13"/>
          <w:lang w:eastAsia="pt-BR"/>
        </w:rPr>
      </w:pP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Poder Judiciário do Estado do Rio de Janeiro</w:t>
      </w:r>
    </w:p>
    <w:p w:rsidR="00BE1D40" w:rsidRPr="00BE1D40" w:rsidRDefault="00BE1D40" w:rsidP="00BE1D40">
      <w:pPr>
        <w:spacing w:after="0" w:line="240" w:lineRule="auto"/>
        <w:jc w:val="center"/>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Biênio 2017 / 2018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sz w:val="16"/>
          <w:szCs w:val="13"/>
          <w:lang w:eastAsia="pt-BR"/>
        </w:rPr>
      </w:pPr>
      <w:r w:rsidRPr="00BE1D40">
        <w:rPr>
          <w:rFonts w:ascii="Verdana" w:eastAsia="Times New Roman" w:hAnsi="Verdana" w:cs="Arial"/>
          <w:b/>
          <w:sz w:val="16"/>
          <w:szCs w:val="13"/>
          <w:lang w:eastAsia="pt-BR"/>
        </w:rPr>
        <w:t>Sumário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2 Indicadores Estratégicos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Perspectiva Processos Internos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Perspectiva Recursos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
          <w:bCs/>
          <w:sz w:val="16"/>
          <w:szCs w:val="28"/>
          <w:lang w:eastAsia="pt-BR"/>
        </w:rPr>
      </w:pPr>
      <w:r w:rsidRPr="00BE1D40">
        <w:rPr>
          <w:rFonts w:ascii="Verdana" w:eastAsia="Times New Roman" w:hAnsi="Verdana" w:cs="Arial"/>
          <w:sz w:val="16"/>
          <w:szCs w:val="13"/>
          <w:lang w:eastAsia="pt-BR"/>
        </w:rPr>
        <w:t>1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Dentro da metodologia de planejamento estratégico, os indicadores que integram esta Matriz têm como finalidade primordial demonstrar de forma quantificável o cumprimento dos objetivos constantes do Mapa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Importante destacar que tais objetivos foram tanto extraídos de diretrizes do Conselho Nacional de Justiça, quanto da realidade do cenário do Estado do Rio de Janeiro na atualidade.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Os índices e indicadores apresentados buscam expressar, de um modo geral, o andamento da administração em diversos segmentos considerados estratégicos para o adequado funcionamento de seus processos. Seu progresso favorável permite, ainda, inferir o bom desenvolvimento dos projetos definidos como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Importante destacar que, muitas vezes, um mesmo indicador pode afetar os resultados de mais de um objetivo, sendo primordial para a estratégia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2 Indicadores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PERSPECTIVA PROCESSOS INTERNOS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PRESTAÇÃO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13"/>
          <w:lang w:eastAsia="pt-BR"/>
        </w:rPr>
        <w:t>Incremento das Políticas de Priorização das Atividades de 1º Grau</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Taxa de Congestionamento (Fase de Conhecimento)</w:t>
      </w: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13"/>
          <w:lang w:eastAsia="pt-BR"/>
        </w:rPr>
        <w:t>(Global / 1º Grau / 2º Grau / Juizados Especiais / Turmas Recursais)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Casos Pendentes) / (Casos Baixados + Casos Pendentes)]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(2014): </w:t>
      </w:r>
      <w:r w:rsidRPr="00BE1D40">
        <w:rPr>
          <w:rFonts w:ascii="Verdana" w:eastAsia="Times New Roman" w:hAnsi="Verdana" w:cs="Arial"/>
          <w:sz w:val="16"/>
          <w:szCs w:val="13"/>
          <w:lang w:eastAsia="pt-BR"/>
        </w:rPr>
        <w:t>Global: 61,13% / 1º Grau: 74,31% / 2º Grau: 31,57% / Juizados Especiais: 45,35% / Turmas Recursais: 24,10%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Atendimento à Demanda no PJERJ (Fase de Conhecimento)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(Global / 1º Grau / 2º Grau / Juizados Especiais / Turmas Recursais)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Processos Baixados / total de Casos Novos) x 100</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(2014): </w:t>
      </w:r>
      <w:r w:rsidRPr="00BE1D40">
        <w:rPr>
          <w:rFonts w:ascii="Verdana" w:eastAsia="Times New Roman" w:hAnsi="Verdana" w:cs="Arial"/>
          <w:sz w:val="16"/>
          <w:szCs w:val="13"/>
          <w:lang w:eastAsia="pt-BR"/>
        </w:rPr>
        <w:t>Global: 85,58% / 1º Grau: 154,03% / 2º Grau: 117,21% / Juizados Especiais: 118,67% / Turmas Recursais: 99,42%</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da Informação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Facilidade de uso dos mecanismos de utilização do Portal do Conhecimento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lastRenderedPageBreak/>
        <w:t xml:space="preserve">Fórmula: </w:t>
      </w:r>
      <w:r w:rsidRPr="00BE1D40">
        <w:rPr>
          <w:rFonts w:ascii="Verdana" w:eastAsia="Times New Roman" w:hAnsi="Verdana" w:cs="Arial"/>
          <w:sz w:val="16"/>
          <w:szCs w:val="13"/>
          <w:lang w:eastAsia="pt-BR"/>
        </w:rPr>
        <w:t>[[Ó (Resposta Ótimo)] + [Ó (Resposta Bom)]]/ [[Ó (Resposta Ótimo)] + [Ó (Resposta Bom)]+ [Ó (Resposta Regular)] + [Ó (Resposta Ruim)] + [(Resposta Péssimo)]] x 100</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(Resultado relativo ao quesito “Facilidade de uso do Portal do Conhecimento” pesquisado em Pesquisa de Satisfação)</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satisfação com os conteúdos disponibilizados no Portal do Conhecimento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[[Ó (Resposta Ótimo)] + [Ó (Resposta Bom)]]/ [[Ó (Resposta Ótimo)] + [Ó (Resposta Bom)]+ [Ó (Resposta Regular)] + [Ó (Resposta Ruim)] + [(Resposta Péssimo)]] x 100</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(Resultado relativo ao somatório de todos os quesitos pesquisados em pesquisa de satisfação)</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Quantidade de Acessos ao Portal do Conhecimento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 (Acesso ao Portal do Conhecimento)</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Incremento da Adoção de Meios Alternativos de Composição de Litígios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Conciliação/Mediação Realizada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NUPEMEC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b/>
          <w:sz w:val="16"/>
          <w:szCs w:val="26"/>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iCs/>
          <w:sz w:val="16"/>
          <w:szCs w:val="13"/>
          <w:lang w:eastAsia="pt-BR"/>
        </w:rPr>
        <w:t>(</w:t>
      </w:r>
      <w:r w:rsidRPr="00BE1D40">
        <w:rPr>
          <w:rFonts w:ascii="Verdana" w:eastAsia="Times New Roman" w:hAnsi="Verdana" w:cs="Arial"/>
          <w:sz w:val="16"/>
          <w:szCs w:val="13"/>
          <w:lang w:eastAsia="pt-BR"/>
        </w:rPr>
        <w:t>Número de processos resolvidos por meio de conciliação/mediação no ano vigente / Número de processos resolvidos por meio de conciliação/mediação do ano base 2014) – 1) x 100</w:t>
      </w:r>
      <w:r w:rsidRPr="00BE1D40">
        <w:rPr>
          <w:rFonts w:ascii="Verdana" w:eastAsia="Times New Roman" w:hAnsi="Verdana" w:cs="Arial"/>
          <w:iCs/>
          <w:sz w:val="16"/>
          <w:szCs w:val="13"/>
          <w:lang w:eastAsia="pt-BR"/>
        </w:rPr>
        <w:t xml:space="preserve"> </w:t>
      </w:r>
      <w:r w:rsidRPr="00BE1D40">
        <w:rPr>
          <w:rFonts w:ascii="Verdana" w:eastAsia="Times New Roman" w:hAnsi="Verdana" w:cs="Arial"/>
          <w:b/>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Conciliação/Mediação Pré</w:t>
      </w:r>
      <w:r w:rsidRPr="00BE1D40">
        <w:rPr>
          <w:rFonts w:ascii="Verdana" w:eastAsia="Times New Roman" w:hAnsi="Verdana" w:cs="Arial"/>
          <w:sz w:val="16"/>
          <w:szCs w:val="13"/>
          <w:lang w:eastAsia="pt-BR"/>
        </w:rPr>
        <w:noBreakHyphen/>
        <w:t>processual Realizada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NUPEMEC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iCs/>
          <w:sz w:val="16"/>
          <w:szCs w:val="13"/>
          <w:lang w:eastAsia="pt-BR"/>
        </w:rPr>
        <w:t>(</w:t>
      </w:r>
      <w:r w:rsidRPr="00BE1D40">
        <w:rPr>
          <w:rFonts w:ascii="Verdana" w:eastAsia="Times New Roman" w:hAnsi="Verdana" w:cs="Arial"/>
          <w:sz w:val="16"/>
          <w:szCs w:val="13"/>
          <w:lang w:eastAsia="pt-BR"/>
        </w:rPr>
        <w:t>Número de processos resolvidos por meio de conciliação/mediação pré</w:t>
      </w:r>
      <w:r w:rsidRPr="00BE1D40">
        <w:rPr>
          <w:rFonts w:ascii="Verdana" w:eastAsia="Times New Roman" w:hAnsi="Verdana" w:cs="Arial"/>
          <w:sz w:val="16"/>
          <w:szCs w:val="13"/>
          <w:lang w:eastAsia="pt-BR"/>
        </w:rPr>
        <w:noBreakHyphen/>
        <w:t>processual no ano vigente / Número de processos resolvidos por meio de conciliação/mediação pré</w:t>
      </w:r>
      <w:r w:rsidRPr="00BE1D40">
        <w:rPr>
          <w:rFonts w:ascii="Verdana" w:eastAsia="Times New Roman" w:hAnsi="Verdana" w:cs="Arial"/>
          <w:sz w:val="16"/>
          <w:szCs w:val="13"/>
          <w:lang w:eastAsia="pt-BR"/>
        </w:rPr>
        <w:noBreakHyphen/>
        <w:t>processual do ano base 2014) – 1) x 100</w:t>
      </w:r>
      <w:r w:rsidRPr="00BE1D40">
        <w:rPr>
          <w:rFonts w:ascii="Verdana" w:eastAsia="Times New Roman" w:hAnsi="Verdana" w:cs="Arial"/>
          <w:iCs/>
          <w:sz w:val="16"/>
          <w:szCs w:val="13"/>
          <w:lang w:eastAsia="pt-BR"/>
        </w:rPr>
        <w:t xml:space="preserve"> </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Produtividade (Fase de Conhecimento)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(1º Grau / 2º Grau / Juizados Especiais / Turmas Recursais)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Julgados / Total de Magistrados)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(2014): </w:t>
      </w:r>
      <w:r w:rsidRPr="00BE1D40">
        <w:rPr>
          <w:rFonts w:ascii="Verdana" w:eastAsia="Times New Roman" w:hAnsi="Verdana" w:cs="Arial"/>
          <w:sz w:val="16"/>
          <w:szCs w:val="13"/>
          <w:lang w:eastAsia="pt-BR"/>
        </w:rPr>
        <w:t>1º Grau: 262 / 2º Grau: 250 / Juizados Especiais: 1.574 / Turmas Recursais: 900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processos eletrônicos novos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processos eletrônicos judiciais novos / total de processos judiciais novos) x 100</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 </w:t>
      </w:r>
      <w:r w:rsidRPr="00BE1D40">
        <w:rPr>
          <w:rFonts w:ascii="Verdana" w:eastAsia="Times New Roman" w:hAnsi="Verdana" w:cs="Arial"/>
          <w:sz w:val="16"/>
          <w:szCs w:val="13"/>
          <w:lang w:eastAsia="pt-BR"/>
        </w:rPr>
        <w:t>Os resultados do indicador “Taxa de Congestionamento (Fase de Conhecimento)” também são afetados pelo presente objetivo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audiências criminais realizadas por videoconferência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sz w:val="16"/>
          <w:szCs w:val="13"/>
          <w:lang w:eastAsia="pt-BR"/>
        </w:rPr>
        <w:t>(Número de audiências criminais realizadas por videoconferência / número de audiências criminais realizadas) x 100</w:t>
      </w: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Linha de Base:</w:t>
      </w:r>
      <w:r w:rsidRPr="00BE1D40">
        <w:rPr>
          <w:rFonts w:ascii="Verdana" w:eastAsia="Times New Roman" w:hAnsi="Verdana" w:cs="Arial"/>
          <w:bCs/>
          <w:sz w:val="16"/>
          <w:szCs w:val="20"/>
          <w:lang w:eastAsia="pt-BR"/>
        </w:rPr>
        <w:t xml:space="preserve"> N/D</w:t>
      </w:r>
    </w:p>
    <w:p w:rsidR="00BE1D40" w:rsidRDefault="00BE1D40" w:rsidP="00BE1D40">
      <w:pPr>
        <w:spacing w:after="0" w:line="240" w:lineRule="auto"/>
        <w:jc w:val="both"/>
        <w:rPr>
          <w:rFonts w:ascii="Verdana" w:eastAsia="Times New Roman" w:hAnsi="Verdana" w:cs="Arial"/>
          <w:sz w:val="16"/>
          <w:szCs w:val="13"/>
          <w:lang w:eastAsia="pt-BR"/>
        </w:rPr>
      </w:pPr>
    </w:p>
    <w:p w:rsidR="008426CF" w:rsidRPr="00BE1D40" w:rsidRDefault="008426CF"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Priorização da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Taxa de Congestionamento (Fase de Execução)</w:t>
      </w:r>
    </w:p>
    <w:p w:rsidR="00BE1D40" w:rsidRPr="00BE1D40" w:rsidRDefault="00BE1D40" w:rsidP="00BE1D40">
      <w:pPr>
        <w:spacing w:after="0" w:line="240" w:lineRule="auto"/>
        <w:jc w:val="both"/>
        <w:rPr>
          <w:rFonts w:ascii="Verdana" w:eastAsia="Times New Roman" w:hAnsi="Verdana" w:cs="Arial"/>
          <w:caps/>
          <w:sz w:val="16"/>
          <w:szCs w:val="13"/>
          <w:lang w:eastAsia="pt-BR"/>
        </w:rPr>
      </w:pPr>
      <w:r w:rsidRPr="00BE1D40">
        <w:rPr>
          <w:rFonts w:ascii="Verdana" w:eastAsia="Times New Roman" w:hAnsi="Verdana" w:cs="Arial"/>
          <w:sz w:val="16"/>
          <w:szCs w:val="13"/>
          <w:lang w:eastAsia="pt-BR"/>
        </w:rPr>
        <w:t>(Global / 1º Grau / Juizados Especiais)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Casos Pendentes / (Casos Baixados + Casos Pendentes)], na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(2014): </w:t>
      </w:r>
      <w:r w:rsidRPr="00BE1D40">
        <w:rPr>
          <w:rFonts w:ascii="Verdana" w:eastAsia="Times New Roman" w:hAnsi="Verdana" w:cs="Arial"/>
          <w:sz w:val="16"/>
          <w:szCs w:val="24"/>
          <w:lang w:eastAsia="pt-BR"/>
        </w:rPr>
        <w:t>Global</w:t>
      </w:r>
      <w:r w:rsidRPr="00BE1D40">
        <w:rPr>
          <w:rFonts w:ascii="Verdana" w:eastAsia="Times New Roman" w:hAnsi="Verdana" w:cs="Arial"/>
          <w:sz w:val="16"/>
          <w:szCs w:val="13"/>
          <w:lang w:eastAsia="pt-BR"/>
        </w:rPr>
        <w:t>: 93,05% / 1º Grau: 93,61% / Juizados Especiais: 58,47%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Atendimento à Demanda no PJERJ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(1º Grau / Juizados Especiais)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Processos Baixados / total de Casos Novos) x 100, na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(2014): </w:t>
      </w:r>
      <w:r w:rsidRPr="00BE1D40">
        <w:rPr>
          <w:rFonts w:ascii="Verdana" w:eastAsia="Times New Roman" w:hAnsi="Verdana" w:cs="Arial"/>
          <w:sz w:val="16"/>
          <w:szCs w:val="13"/>
          <w:lang w:eastAsia="pt-BR"/>
        </w:rPr>
        <w:t>1º Grau: 44,95% / Juizados Especiais: 122,87%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Produtividade do Magistrado na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julgados / total de Magistrados), na Fase de Execução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Linha de Base (2015): </w:t>
      </w:r>
      <w:r w:rsidRPr="00BE1D40">
        <w:rPr>
          <w:rFonts w:ascii="Verdana" w:eastAsia="Times New Roman" w:hAnsi="Verdana" w:cs="Arial"/>
          <w:sz w:val="16"/>
          <w:szCs w:val="13"/>
          <w:lang w:eastAsia="pt-BR"/>
        </w:rPr>
        <w:t>1º Grau: 262 / Juizados Especiais: 68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 Modelo de Gestão das Execuções Fiscais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Congestionamento das ações de execução fiscal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Casos Pendentes) / (Casos Baixados + Casos Pendentes)]</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 xml:space="preserve">Linha de Base: </w:t>
      </w:r>
      <w:r w:rsidRPr="00BE1D40">
        <w:rPr>
          <w:rFonts w:ascii="Verdana" w:eastAsia="Times New Roman" w:hAnsi="Verdana" w:cs="Arial"/>
          <w:bCs/>
          <w:sz w:val="16"/>
          <w:szCs w:val="20"/>
          <w:lang w:eastAsia="pt-BR"/>
        </w:rPr>
        <w:t>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Justiça Criminal como Mecanismo de Pacificação Social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Varas Criminais com Sistema de Audiência por Videoconferência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DGSEI</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bCs/>
          <w:sz w:val="16"/>
          <w:szCs w:val="13"/>
          <w:lang w:eastAsia="pt-BR"/>
        </w:rPr>
        <w:t>(</w:t>
      </w:r>
      <w:r w:rsidRPr="00BE1D40">
        <w:rPr>
          <w:rFonts w:ascii="Verdana" w:eastAsia="Times New Roman" w:hAnsi="Verdana" w:cs="Arial"/>
          <w:sz w:val="16"/>
          <w:szCs w:val="13"/>
          <w:lang w:eastAsia="pt-BR"/>
        </w:rPr>
        <w:t>Número de varas com audiência por videoconferência implantado / total de varas criminais existentes)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15,91%</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Indivíduos Soltos em Razão das Audiências de Custódia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DGJUR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(Número de indivíduos soltos em razão das audiências de custódia / número presos participantes das audiências de custódia)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 xml:space="preserve">Linha de Base: </w:t>
      </w:r>
      <w:r w:rsidRPr="00BE1D40">
        <w:rPr>
          <w:rFonts w:ascii="Verdana" w:eastAsia="Times New Roman" w:hAnsi="Verdana" w:cs="Arial"/>
          <w:iCs/>
          <w:sz w:val="16"/>
          <w:szCs w:val="18"/>
          <w:lang w:eastAsia="pt-BR"/>
        </w:rPr>
        <w:t>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Não</w:t>
      </w:r>
      <w:r w:rsidRPr="00BE1D40">
        <w:rPr>
          <w:rFonts w:ascii="Verdana" w:eastAsia="Times New Roman" w:hAnsi="Verdana" w:cs="Arial"/>
          <w:sz w:val="16"/>
          <w:szCs w:val="13"/>
          <w:lang w:eastAsia="pt-BR"/>
        </w:rPr>
        <w:noBreakHyphen/>
        <w:t>Institucionalização nas Audiências de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NAAP</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sz w:val="16"/>
          <w:szCs w:val="13"/>
          <w:lang w:eastAsia="pt-BR"/>
        </w:rPr>
        <w:t>((Número de adolescentes não institucionalizados / número de adolescentes participantes das audiências de apresentação)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 xml:space="preserve">Linha de Base: </w:t>
      </w:r>
      <w:r w:rsidRPr="00BE1D40">
        <w:rPr>
          <w:rFonts w:ascii="Verdana" w:eastAsia="Times New Roman" w:hAnsi="Verdana" w:cs="Arial"/>
          <w:iCs/>
          <w:sz w:val="16"/>
          <w:szCs w:val="18"/>
          <w:lang w:eastAsia="pt-BR"/>
        </w:rPr>
        <w:t>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TEMA GOVERNANÇA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Defesa da Autonomia e da Independência do Poder Judiciário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atos administrativos que demonstrem a independência do Judiciário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GABPRES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sz w:val="16"/>
          <w:szCs w:val="13"/>
          <w:lang w:eastAsia="pt-BR"/>
        </w:rPr>
        <w:t>(Total de mensagens de projetos de lei enviados para a ALERJ / total de projetos transformados em lei)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(2015): 86%</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das Políticas de Controle Interno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Capacitação de Servidores nos Referenciais de Controle Interno Utilizados pela Auditoria Interna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NAI</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Semestral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Fórmula: </w:t>
      </w:r>
      <w:r w:rsidRPr="00BE1D40">
        <w:rPr>
          <w:rFonts w:ascii="Verdana" w:eastAsia="Times New Roman" w:hAnsi="Verdana" w:cs="Arial"/>
          <w:sz w:val="16"/>
          <w:szCs w:val="13"/>
          <w:lang w:eastAsia="pt-BR"/>
        </w:rPr>
        <w:t>(Total de Diretorias</w:t>
      </w:r>
      <w:r w:rsidRPr="00BE1D40">
        <w:rPr>
          <w:rFonts w:ascii="Verdana" w:eastAsia="Times New Roman" w:hAnsi="Verdana" w:cs="Arial"/>
          <w:sz w:val="16"/>
          <w:szCs w:val="13"/>
          <w:lang w:eastAsia="pt-BR"/>
        </w:rPr>
        <w:noBreakHyphen/>
        <w:t>Gerais abrangidas pela capacitação / total de Diretorias</w:t>
      </w:r>
      <w:r w:rsidRPr="00BE1D40">
        <w:rPr>
          <w:rFonts w:ascii="Verdana" w:eastAsia="Times New Roman" w:hAnsi="Verdana" w:cs="Arial"/>
          <w:sz w:val="16"/>
          <w:szCs w:val="13"/>
          <w:lang w:eastAsia="pt-BR"/>
        </w:rPr>
        <w:noBreakHyphen/>
        <w:t>Gerais)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 xml:space="preserve">Linha de Base: </w:t>
      </w:r>
      <w:r w:rsidRPr="00BE1D40">
        <w:rPr>
          <w:rFonts w:ascii="Verdana" w:eastAsia="Times New Roman" w:hAnsi="Verdana" w:cs="Arial"/>
          <w:bCs/>
          <w:sz w:val="16"/>
          <w:szCs w:val="20"/>
          <w:lang w:eastAsia="pt-BR"/>
        </w:rPr>
        <w:t>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Garantia do Alinhamento Estratégico das Unidades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Sucesso na Execução dos Projetos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Responsável: </w:t>
      </w:r>
      <w:r w:rsidRPr="00BE1D40">
        <w:rPr>
          <w:rFonts w:ascii="Verdana" w:eastAsia="Times New Roman" w:hAnsi="Verdana" w:cs="Arial"/>
          <w:sz w:val="16"/>
          <w:szCs w:val="13"/>
          <w:lang w:eastAsia="pt-BR"/>
        </w:rPr>
        <w:t>GABPRES/DEGEP</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24"/>
          <w:lang w:eastAsia="pt-BR"/>
        </w:rPr>
        <w:t xml:space="preserve">Fórmula: </w:t>
      </w:r>
      <w:r w:rsidRPr="00BE1D40">
        <w:rPr>
          <w:rFonts w:ascii="Verdana" w:eastAsia="Times New Roman" w:hAnsi="Verdana" w:cs="Arial"/>
          <w:sz w:val="16"/>
          <w:szCs w:val="13"/>
          <w:lang w:eastAsia="pt-BR"/>
        </w:rPr>
        <w:t>(Total de projetos estratégicos concluídos com suas metas internas alcançadas no período/ total de projetos estratégicos previstos no plano para 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 xml:space="preserve">Linha de Base (2016): </w:t>
      </w:r>
      <w:r w:rsidRPr="00BE1D40">
        <w:rPr>
          <w:rFonts w:ascii="Verdana" w:eastAsia="Times New Roman" w:hAnsi="Verdana" w:cs="Arial"/>
          <w:sz w:val="16"/>
          <w:szCs w:val="21"/>
          <w:lang w:eastAsia="pt-BR"/>
        </w:rPr>
        <w:t>75%</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Alcance das Metas Estratégicas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Responsável: </w:t>
      </w:r>
      <w:r w:rsidRPr="00BE1D40">
        <w:rPr>
          <w:rFonts w:ascii="Verdana" w:eastAsia="Times New Roman" w:hAnsi="Verdana" w:cs="Arial"/>
          <w:sz w:val="16"/>
          <w:szCs w:val="13"/>
          <w:lang w:eastAsia="pt-BR"/>
        </w:rPr>
        <w:t>GABPRES/DEGEP</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metas estratégicas alcançadas / total de metas estratégicas)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20%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COMUNICAÇÃO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INCENTIVO À COMUNICAÇÃO INTERNA E COM A SOCIEDADE CIVIL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Confiança no Poder Judiciário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Efetividade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 de Aprovação em pesquisa de opinião pública</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(2012): 48%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Matérias Institucionais Positivas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Efetividade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matérias institucionais positivas veiculadas na mídia sobre o PJERJ / total de matérias veiculadas na mídia sobre o PJERJ)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99,07%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do Clima Organizacional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avaliações positivas na pesquisa de clima organizacional / total de avaliações na pesquisa de clima organizacional)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(2012): 78,14%</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COMUNICAÇÃO COM A MÍDIA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Inserções Institucionais na Mídia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DGCOM</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Quantidade de inserções na mídia sobre o PJERJ, no período</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5.594</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INCENTIVO AO DIÁLOGO COM OS PODERES EXECUTIVO E LEGISLATIVO E ÓRGÃOS REPRESENTATIVOS DAS FUNÇÕES ESSENCIAIS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incremento de convênios celebrados com instituições públicas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DGLOG</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convênios celebrados com instituições públicas / Total de convênios celebrados)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50%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PROMOÇÃO DOS DIREITOS DA CIDADANIA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PROMOÇÃO DA RESPONSABILIDADE SOCIOAMBIENTAL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Pessoas Beneficiadas pelos Projetos Sociais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Efetividade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Responsável: </w:t>
      </w:r>
      <w:r w:rsidRPr="00BE1D40">
        <w:rPr>
          <w:rFonts w:ascii="Verdana" w:eastAsia="Times New Roman" w:hAnsi="Verdana" w:cs="Arial"/>
          <w:sz w:val="16"/>
          <w:szCs w:val="13"/>
          <w:lang w:eastAsia="pt-BR"/>
        </w:rPr>
        <w:t>GABPRES/DEAPE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Semestral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Número de pessoas diretamente beneficiadas pelos projetos sociais</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42.431</w:t>
      </w:r>
    </w:p>
    <w:p w:rsidR="00BE1D40" w:rsidRPr="00BE1D40" w:rsidRDefault="00BE1D40" w:rsidP="00BE1D40">
      <w:pPr>
        <w:spacing w:after="0" w:line="240" w:lineRule="auto"/>
        <w:jc w:val="both"/>
        <w:rPr>
          <w:rFonts w:ascii="Verdana" w:eastAsia="Times New Roman" w:hAnsi="Verdana" w:cs="Arial"/>
          <w:sz w:val="24"/>
          <w:szCs w:val="13"/>
          <w:lang w:eastAsia="pt-BR"/>
        </w:rPr>
      </w:pPr>
    </w:p>
    <w:p w:rsidR="00BE1D40" w:rsidRPr="00BE1D40" w:rsidRDefault="00BE1D40" w:rsidP="00BE1D40">
      <w:pPr>
        <w:spacing w:after="0" w:line="240" w:lineRule="auto"/>
        <w:jc w:val="both"/>
        <w:rPr>
          <w:rFonts w:ascii="Verdana" w:eastAsia="Times New Roman" w:hAnsi="Verdana" w:cs="Arial"/>
          <w:sz w:val="16"/>
          <w:szCs w:val="26"/>
          <w:lang w:eastAsia="pt-BR"/>
        </w:rPr>
      </w:pPr>
      <w:r w:rsidRPr="00BE1D40">
        <w:rPr>
          <w:rFonts w:ascii="Verdana" w:eastAsia="Times New Roman" w:hAnsi="Verdana" w:cs="Arial"/>
          <w:sz w:val="16"/>
          <w:szCs w:val="13"/>
          <w:lang w:eastAsia="pt-BR"/>
        </w:rPr>
        <w:t>PERSPECTIVA RECURSOS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GESTÃO DE PESSOAS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MAGISTRADOS E DA CARREIRA DA MAGISTRATURA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SERVIDORES E DA CARREIRA DE SERVENTUÁRIO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Absenteísmo no PJERJ – Magistrados e Servidores – Global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ausências sem justificativas de Magistrados e servidores no período) / total de Magistrados e servidores ao final do período x total de dias úteis no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2,20%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MAGISTRADOS E DA CARREIRA DA MAGISTRATURA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Absenteísmo de Magistrados no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ausências sem justificativas de Magistrados no período / total de Magistrados ao final do período x total de dias úteis no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2,63%</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Orçamento de Custeio Aplicado em Capacitação de Magistrados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EMERJ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lastRenderedPageBreak/>
        <w:t>Fórmula:</w:t>
      </w:r>
      <w:r w:rsidRPr="00BE1D40">
        <w:rPr>
          <w:rFonts w:ascii="Verdana" w:eastAsia="Times New Roman" w:hAnsi="Verdana" w:cs="Arial"/>
          <w:sz w:val="16"/>
          <w:szCs w:val="13"/>
          <w:lang w:eastAsia="pt-BR"/>
        </w:rPr>
        <w:t xml:space="preserve"> (Total aplicado em capacitação / total do orçamento de custeio executado)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(2014): 22,50%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VALORIZAÇÃO DOS SERVIDORES E DA CARREIRA DE SERVENTUÁRIO DA JUSTIÇA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xml:space="preserve">: Absenteísmo de Servidores no PJERJ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ausências sem justificativas de servidores no período) / (total de servidores ao final do período x total de dias úteis no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2,18%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Renovação da Força de Trabalho (turnover)</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(Somatório de entradas e saídas / média de servidores)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(2014): 2,49%</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CAPACITAÇÃO E DAS COMPETÊNCIAS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capacitação de servidores nas competências profissionais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Semestral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(Servidores capacitados por competência específica / Total de servidores)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93,50%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Capacitação dos Servidores nas Competências Estratégicas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Semestral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servidores treinados com pelo menos 20 horas nas competências estratégicas / Total de servidores)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27,97%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Orçamento de Custeio Aplicado em Capacitação de Servidores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Semestral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aplicado em capacitação / total do orçamento de custeio executado)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(2015): 0,51%</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Mapeamento das Competências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(Total de servidores com necessidade de desenvolvimento de competências mapeadas / Total de servidores do PJERJ)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66,24%</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TECNOLOGIA DA INFORMAÇÃO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INFRAESTRUTURA E DOS EQUIPAMENTOS DE TI</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Tempo de atualização das configurações dos ativos de TI</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(Bens de TI com atualização menor que 7 anos / Total de Bens de TI)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(3º Trimestre de 2016): 88%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Disponibilidade de sistemas online</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sz w:val="16"/>
          <w:szCs w:val="13"/>
          <w:lang w:eastAsia="pt-BR"/>
        </w:rPr>
        <w:t xml:space="preserve"> [1 – (Tempo de indisponibilidade de sistemas / Tempo total do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99,97%</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DOS SISTEMAS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aderência às metas do PETIC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Número de metas alcançadas do PETIC no ano de referência / Número total de metas do PETIC no ano de referência)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(2015): 68,75%</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Descarte do Processo Eletrônico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(Total de processos eletrônicos descartados / total de processos eletrônicos)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N/D</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AMPLIAÇÃO DO ACESSO À TECNOLOGIA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Disponibilidade de infraestrutura de equipamentos de tecnologia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DGTEC</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[1 – (Tempo de indisponibilidade de equipamentos / Tempo total do período)]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99,83%</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ESTRUTURA PREDIAL, LOGÍSTICA E DE SEGURANÇA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SEGURANÇA DOS MAGISTRADOS, SERVIDORES E EDIFICAÇÕES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Unidades com Segurança Armada e/ou Eletrônica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DGSEI</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iCs/>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(Total de unidades consideradas seguras*/ total de unidades)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69,23%</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Segurança eletrônica, entendida como controle de acesso com detector de metais e raios x e câmeras de vigilância nas áreas de circulação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INFRAESTRUTURA PREDIAL COMO MECANISMO DE EFETIVIDADE JURISDICIONAL</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Variação de custo licitado nas obras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DGLOG/DEENG</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[(Valor atualizado / Valor licitado)</w:t>
      </w:r>
      <w:r w:rsidRPr="00BE1D40">
        <w:rPr>
          <w:rFonts w:ascii="Verdana" w:eastAsia="Times New Roman" w:hAnsi="Verdana" w:cs="Arial"/>
          <w:sz w:val="16"/>
          <w:szCs w:val="13"/>
          <w:lang w:eastAsia="pt-BR"/>
        </w:rPr>
        <w:noBreakHyphen/>
        <w:t>1]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b/>
          <w:sz w:val="16"/>
          <w:szCs w:val="13"/>
          <w:lang w:eastAsia="pt-BR"/>
        </w:rPr>
        <w:t xml:space="preserve">Linha de Base (2016): </w:t>
      </w:r>
      <w:r w:rsidRPr="00BE1D40">
        <w:rPr>
          <w:rFonts w:ascii="Verdana" w:eastAsia="Times New Roman" w:hAnsi="Verdana" w:cs="Arial"/>
          <w:sz w:val="16"/>
          <w:szCs w:val="13"/>
          <w:lang w:eastAsia="pt-BR"/>
        </w:rPr>
        <w:t>Readequação e reforma: 17,57% / Construção e compra: 7,92%</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LOGÍSTICO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bens permanentes inventariados nas unidades patrimoniais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Desempenho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lastRenderedPageBreak/>
        <w:t>Responsável: DGLOG</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(Quantidade de bens permanentes inventariados / Quantidade de bens permanentes do PJERJ)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99,80%</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TEMA ORÇAMENTO E FINANÇAS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OBJETIVO ESTRATÉGICO: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aprimoramento da governança financeira e orçamentária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Eficiência Operacional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Eficiência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Responsável: DGPCF</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(Desp. Total – Inativos – Precatório – Investimento + Depreciação) / (Total de processos baixados)</w:t>
      </w:r>
    </w:p>
    <w:p w:rsidR="00BE1D40" w:rsidRPr="00BE1D40" w:rsidRDefault="00BE1D40" w:rsidP="00BE1D40">
      <w:pPr>
        <w:spacing w:after="0" w:line="240" w:lineRule="auto"/>
        <w:jc w:val="both"/>
        <w:rPr>
          <w:rFonts w:ascii="Verdana" w:eastAsia="Times New Roman" w:hAnsi="Verdana" w:cs="Arial"/>
          <w:sz w:val="16"/>
          <w:szCs w:val="24"/>
          <w:lang w:eastAsia="pt-BR"/>
        </w:rPr>
      </w:pPr>
      <w:r w:rsidRPr="00BE1D40">
        <w:rPr>
          <w:rFonts w:ascii="Verdana" w:eastAsia="Times New Roman" w:hAnsi="Verdana" w:cs="Arial"/>
          <w:sz w:val="16"/>
          <w:szCs w:val="13"/>
          <w:lang w:eastAsia="pt-BR"/>
        </w:rPr>
        <w:t>*Considerar inflação</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R$ 1.637,92</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u w:val="single"/>
          <w:lang w:eastAsia="pt-BR"/>
        </w:rPr>
        <w:t>Indicador</w:t>
      </w:r>
      <w:r w:rsidRPr="00BE1D40">
        <w:rPr>
          <w:rFonts w:ascii="Verdana" w:eastAsia="Times New Roman" w:hAnsi="Verdana" w:cs="Arial"/>
          <w:sz w:val="16"/>
          <w:szCs w:val="13"/>
          <w:lang w:eastAsia="pt-BR"/>
        </w:rPr>
        <w:t>: Índice de Execução do Orçamento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Tipo de Indicador: Acompanhamento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Leitura da Meta: Anual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 xml:space="preserve">Responsável: </w:t>
      </w:r>
      <w:r w:rsidRPr="00BE1D40">
        <w:rPr>
          <w:rFonts w:ascii="Verdana" w:eastAsia="Times New Roman" w:hAnsi="Verdana" w:cs="Arial"/>
          <w:sz w:val="16"/>
          <w:szCs w:val="13"/>
          <w:lang w:eastAsia="pt-BR"/>
        </w:rPr>
        <w:t>DGPCF / GABPRES/DEGEP</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Monitoramento: Trimestral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Fórmula:</w:t>
      </w:r>
      <w:r w:rsidRPr="00BE1D40">
        <w:rPr>
          <w:rFonts w:ascii="Verdana" w:eastAsia="Times New Roman" w:hAnsi="Verdana" w:cs="Arial"/>
          <w:iCs/>
          <w:sz w:val="16"/>
          <w:szCs w:val="13"/>
          <w:lang w:eastAsia="pt-BR"/>
        </w:rPr>
        <w:t xml:space="preserve"> </w:t>
      </w:r>
      <w:r w:rsidRPr="00BE1D40">
        <w:rPr>
          <w:rFonts w:ascii="Verdana" w:eastAsia="Times New Roman" w:hAnsi="Verdana" w:cs="Arial"/>
          <w:sz w:val="16"/>
          <w:szCs w:val="13"/>
          <w:lang w:eastAsia="pt-BR"/>
        </w:rPr>
        <w:t>(Valor executado nas iniciativas estratégicas / Valor disponibilizado para tal) x 100</w:t>
      </w:r>
    </w:p>
    <w:p w:rsidR="00BE1D40" w:rsidRPr="00BE1D40" w:rsidRDefault="00BE1D40" w:rsidP="00BE1D40">
      <w:pPr>
        <w:spacing w:after="0" w:line="240" w:lineRule="auto"/>
        <w:jc w:val="both"/>
        <w:rPr>
          <w:rFonts w:ascii="Verdana" w:eastAsia="Times New Roman" w:hAnsi="Verdana" w:cs="Arial"/>
          <w:bCs/>
          <w:sz w:val="16"/>
          <w:szCs w:val="13"/>
          <w:lang w:eastAsia="pt-BR"/>
        </w:rPr>
      </w:pPr>
      <w:r w:rsidRPr="00BE1D40">
        <w:rPr>
          <w:rFonts w:ascii="Verdana" w:eastAsia="Times New Roman" w:hAnsi="Verdana" w:cs="Arial"/>
          <w:sz w:val="16"/>
          <w:szCs w:val="13"/>
          <w:lang w:eastAsia="pt-BR"/>
        </w:rPr>
        <w:t>Linha de Base (2016): 57,15%</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Calibri" w:eastAsia="Times New Roman" w:hAnsi="Calibri" w:cs="Times New Roman"/>
          <w:lang w:eastAsia="pt-BR"/>
        </w:rPr>
      </w:pPr>
    </w:p>
    <w:p w:rsidR="00BE1D40" w:rsidRPr="00BE1D40" w:rsidRDefault="00BE1D40" w:rsidP="00BE1D40">
      <w:pPr>
        <w:spacing w:after="0" w:line="240" w:lineRule="auto"/>
        <w:jc w:val="both"/>
        <w:rPr>
          <w:rFonts w:ascii="Verdana" w:eastAsia="Times New Roman" w:hAnsi="Verdana" w:cs="Times New Roman"/>
          <w:sz w:val="16"/>
          <w:szCs w:val="24"/>
          <w:lang w:eastAsia="pt-BR"/>
        </w:rPr>
      </w:pPr>
      <w:bookmarkStart w:id="8" w:name="2946288_e"/>
      <w:bookmarkStart w:id="9" w:name="2946290_b"/>
      <w:bookmarkEnd w:id="8"/>
      <w:bookmarkEnd w:id="9"/>
      <w:r w:rsidRPr="00BE1D40">
        <w:rPr>
          <w:rFonts w:ascii="Verdana" w:eastAsia="Times New Roman" w:hAnsi="Verdana" w:cs="Times New Roman"/>
          <w:sz w:val="16"/>
          <w:szCs w:val="24"/>
          <w:lang w:eastAsia="pt-BR"/>
        </w:rPr>
        <w:t xml:space="preserve"> </w:t>
      </w:r>
    </w:p>
    <w:p w:rsidR="00BE1D40" w:rsidRPr="00BE1D40" w:rsidRDefault="00BE1D40" w:rsidP="00BE1D40">
      <w:pPr>
        <w:spacing w:after="0" w:line="240" w:lineRule="auto"/>
        <w:jc w:val="both"/>
        <w:rPr>
          <w:rFonts w:ascii="Verdana" w:eastAsia="Times New Roman" w:hAnsi="Verdana" w:cs="Times New Roman"/>
          <w:sz w:val="16"/>
          <w:szCs w:val="24"/>
          <w:lang w:eastAsia="pt-BR"/>
        </w:rPr>
      </w:pPr>
    </w:p>
    <w:p w:rsidR="00BE1D40" w:rsidRPr="00BE1D40" w:rsidRDefault="00BE1D40" w:rsidP="00BE1D40">
      <w:pPr>
        <w:spacing w:after="0" w:line="240" w:lineRule="auto"/>
        <w:jc w:val="both"/>
        <w:rPr>
          <w:rFonts w:ascii="Verdana" w:eastAsia="Times New Roman" w:hAnsi="Verdana" w:cs="Times New Roman"/>
          <w:b/>
          <w:sz w:val="16"/>
          <w:szCs w:val="24"/>
          <w:lang w:eastAsia="pt-BR"/>
        </w:rPr>
      </w:pPr>
      <w:r w:rsidRPr="00BE1D40">
        <w:rPr>
          <w:rFonts w:ascii="Verdana" w:eastAsia="Times New Roman" w:hAnsi="Verdana" w:cs="Times New Roman"/>
          <w:b/>
          <w:sz w:val="16"/>
          <w:szCs w:val="24"/>
          <w:lang w:eastAsia="pt-BR"/>
        </w:rPr>
        <w:t>id: 2946290</w:t>
      </w:r>
    </w:p>
    <w:p w:rsidR="00BE1D40" w:rsidRPr="00BE1D40" w:rsidRDefault="00BE1D40" w:rsidP="00BE1D40">
      <w:pPr>
        <w:spacing w:after="0" w:line="240" w:lineRule="auto"/>
        <w:jc w:val="both"/>
        <w:rPr>
          <w:rFonts w:ascii="Verdana" w:eastAsia="Times New Roman" w:hAnsi="Verdana" w:cs="Times New Roman"/>
          <w:b/>
          <w:sz w:val="16"/>
          <w:szCs w:val="24"/>
          <w:lang w:eastAsia="pt-BR"/>
        </w:rPr>
      </w:pPr>
    </w:p>
    <w:p w:rsidR="00BE1D40" w:rsidRPr="00BE1D40" w:rsidRDefault="00BE1D40" w:rsidP="00BE1D40">
      <w:pPr>
        <w:spacing w:after="0" w:line="240" w:lineRule="auto"/>
        <w:jc w:val="both"/>
        <w:rPr>
          <w:rFonts w:ascii="Verdana" w:eastAsia="Times New Roman" w:hAnsi="Verdana" w:cs="Times New Roman"/>
          <w:sz w:val="16"/>
          <w:szCs w:val="24"/>
          <w:lang w:eastAsia="pt-BR"/>
        </w:rPr>
      </w:pPr>
    </w:p>
    <w:p w:rsidR="00BE1D40" w:rsidRPr="00BE1D40" w:rsidRDefault="00BE1D40" w:rsidP="00BE1D40">
      <w:pPr>
        <w:widowControl w:val="0"/>
        <w:autoSpaceDE w:val="0"/>
        <w:autoSpaceDN w:val="0"/>
        <w:adjustRightInd w:val="0"/>
        <w:spacing w:after="0" w:line="240" w:lineRule="auto"/>
        <w:rPr>
          <w:rFonts w:ascii="Verdana" w:eastAsia="Times New Roman" w:hAnsi="Verdana" w:cs="Arial"/>
          <w:sz w:val="16"/>
          <w:szCs w:val="13"/>
          <w:lang w:eastAsia="pt-BR"/>
        </w:rPr>
      </w:pPr>
      <w:r w:rsidRPr="00BE1D40">
        <w:rPr>
          <w:rFonts w:ascii="Verdana" w:eastAsia="Times New Roman" w:hAnsi="Verdana" w:cs="Times New Roman"/>
          <w:sz w:val="16"/>
          <w:szCs w:val="24"/>
          <w:lang w:eastAsia="pt-BR"/>
        </w:rPr>
        <w:t xml:space="preserve"> </w:t>
      </w:r>
    </w:p>
    <w:p w:rsidR="00BE1D40" w:rsidRPr="00BE1D40" w:rsidRDefault="00BE1D40" w:rsidP="00BE1D40">
      <w:pPr>
        <w:widowControl w:val="0"/>
        <w:autoSpaceDE w:val="0"/>
        <w:autoSpaceDN w:val="0"/>
        <w:adjustRightInd w:val="0"/>
        <w:spacing w:after="0" w:line="240" w:lineRule="auto"/>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de Comunicação da Estratégia</w:t>
      </w:r>
    </w:p>
    <w:p w:rsidR="00BE1D40" w:rsidRPr="00BE1D40" w:rsidRDefault="00BE1D40" w:rsidP="00BE1D40">
      <w:pPr>
        <w:spacing w:after="0" w:line="240" w:lineRule="auto"/>
        <w:jc w:val="center"/>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Poder Judiciário do Estado do Rio de Janeiro</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sz w:val="16"/>
          <w:szCs w:val="13"/>
          <w:lang w:eastAsia="pt-BR"/>
        </w:rPr>
        <w:t>Biênio 2017 / 2018</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Sumário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2 Objetivos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3 Público</w:t>
      </w:r>
      <w:r w:rsidRPr="00BE1D40">
        <w:rPr>
          <w:rFonts w:ascii="Verdana" w:eastAsia="Times New Roman" w:hAnsi="Verdana" w:cs="Arial"/>
          <w:sz w:val="16"/>
          <w:szCs w:val="13"/>
          <w:lang w:eastAsia="pt-BR"/>
        </w:rPr>
        <w:noBreakHyphen/>
        <w:t>Alvo da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 Informações sobre o Modelo de Gestão Estratégica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5 Meios de Comunicação e Divulgação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6 Documentos para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7 Canais de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8 Reuniões e Eventos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9 Critérios de Difusão da Informação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10 Mecanismos de Comunicação e Público</w:t>
      </w:r>
      <w:r w:rsidRPr="00BE1D40">
        <w:rPr>
          <w:rFonts w:ascii="Verdana" w:eastAsia="Times New Roman" w:hAnsi="Verdana" w:cs="Arial"/>
          <w:sz w:val="16"/>
          <w:szCs w:val="13"/>
          <w:lang w:eastAsia="pt-BR"/>
        </w:rPr>
        <w:noBreakHyphen/>
        <w:t>Alvo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11 Periodicidade da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12 Difusão das Informações Estratégicas nas Esferas de Atividade do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13 Custos da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14 Esquematização dos Eventos do Plano de Comunicação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 Apresentação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Poder Judiciário do Estado do Rio de Janeiro (PJERJ) vem continuamente desenvolvendo medidas para a consolidação e o fortalecimento de sua gestão estratégica e a comunicação é passo essencial para garantir os resultados almejados.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 grande desafio é comunicar, clara e objetivamente, o modelo de gestão estratégica adotado, tanto para o público interno quanto para a sociedade. </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Este Plano de Comunicação identifica os eventos, o público</w:t>
      </w:r>
      <w:r w:rsidRPr="00BE1D40">
        <w:rPr>
          <w:rFonts w:ascii="Verdana" w:eastAsia="Times New Roman" w:hAnsi="Verdana" w:cs="Arial"/>
          <w:sz w:val="16"/>
          <w:szCs w:val="13"/>
          <w:lang w:eastAsia="pt-BR"/>
        </w:rPr>
        <w:noBreakHyphen/>
        <w:t>alvo, as unidades responsáveis e os meios de divulgação necessários e suficientes, que serão utilizados para disseminar a cultura e as intenções permanentes do PJERJ, no que se refere à gestão estratégica, de forma sistêmica, perene e independente da periodicidade de cada administração.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O Plano de Comunicação coordena, ademais, a produção e a classificação das informações relacionadas à estratégia institucional, de modo a orientar os </w:t>
      </w:r>
      <w:r w:rsidRPr="00BE1D40">
        <w:rPr>
          <w:rFonts w:ascii="Verdana" w:eastAsia="Times New Roman" w:hAnsi="Verdana" w:cs="Arial"/>
          <w:i/>
          <w:sz w:val="16"/>
          <w:szCs w:val="13"/>
          <w:lang w:eastAsia="pt-BR"/>
        </w:rPr>
        <w:t>feedbacks</w:t>
      </w:r>
      <w:r w:rsidRPr="00BE1D40">
        <w:rPr>
          <w:rFonts w:ascii="Verdana" w:eastAsia="Times New Roman" w:hAnsi="Verdana" w:cs="Arial"/>
          <w:sz w:val="16"/>
          <w:szCs w:val="13"/>
          <w:lang w:eastAsia="pt-BR"/>
        </w:rPr>
        <w:t xml:space="preserve"> institucionais.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24"/>
          <w:lang w:eastAsia="pt-BR"/>
        </w:rPr>
      </w:pPr>
      <w:bookmarkStart w:id="10" w:name="_Toc392871792"/>
      <w:r w:rsidRPr="00BE1D40">
        <w:rPr>
          <w:rFonts w:ascii="Verdana" w:eastAsia="Times New Roman" w:hAnsi="Verdana" w:cs="Arial"/>
          <w:sz w:val="16"/>
          <w:szCs w:val="13"/>
          <w:lang w:eastAsia="pt-BR"/>
        </w:rPr>
        <w:t>2 Objetivos</w:t>
      </w:r>
      <w:bookmarkEnd w:id="10"/>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Plano de Comunicação da Estratégia do PJERJ promove o alinhamento das ações de comunicação aos processos de planejamento e de gestão estratégica. Pretende, ainda, no âmbito das informações estratégicas, facilitar a comunicação interna, bem como atender aos dispositivos constitucionais de publicidade, transparência e aproximação do Judiciário com a sociedade (comunicação externa). São seus objetivos específicos: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divulgar o entendimento sobre os direcionadores estratégicos do PJERJ – Missão, Visão e Valores – e a metodologia estratégica adotada pela instituição;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implementar e divulgar, para o público destinatário, medidas de comunicação e compreensão da metodologia da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adotar e divulgar procedimentos de acompanhamento dos projetos estratégicos e dos projetos da gestão operacional;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adotar e divulgar boas práticas de gestão por processos de trabalho, a partir dos princípios da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3 Público</w:t>
      </w:r>
      <w:r w:rsidRPr="00BE1D40">
        <w:rPr>
          <w:rFonts w:ascii="Verdana" w:eastAsia="Times New Roman" w:hAnsi="Verdana" w:cs="Arial"/>
          <w:sz w:val="16"/>
          <w:szCs w:val="13"/>
          <w:lang w:eastAsia="pt-BR"/>
        </w:rPr>
        <w:noBreakHyphen/>
        <w:t>alvo da gestão estratégica</w:t>
      </w:r>
    </w:p>
    <w:p w:rsidR="00BE1D40" w:rsidRPr="00BE1D40" w:rsidRDefault="00BE1D40" w:rsidP="00BE1D40">
      <w:pPr>
        <w:spacing w:after="0" w:line="240" w:lineRule="auto"/>
        <w:jc w:val="both"/>
        <w:rPr>
          <w:rFonts w:ascii="Verdana" w:eastAsia="Times New Roman" w:hAnsi="Verdana" w:cs="Arial"/>
          <w:sz w:val="12"/>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Constitui o público</w:t>
      </w:r>
      <w:r w:rsidRPr="00BE1D40">
        <w:rPr>
          <w:rFonts w:ascii="Verdana" w:eastAsia="Times New Roman" w:hAnsi="Verdana" w:cs="Arial"/>
          <w:sz w:val="16"/>
          <w:szCs w:val="13"/>
          <w:lang w:eastAsia="pt-BR"/>
        </w:rPr>
        <w:noBreakHyphen/>
        <w:t>alvo destinatário da gestão estratégica:</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drawing>
          <wp:inline distT="0" distB="0" distL="0" distR="0">
            <wp:extent cx="3695700" cy="2647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2647950"/>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8"/>
          <w:szCs w:val="13"/>
          <w:lang w:eastAsia="pt-BR"/>
        </w:rPr>
      </w:pPr>
    </w:p>
    <w:p w:rsidR="00BE1D40" w:rsidRPr="00BE1D40" w:rsidRDefault="00BE1D40" w:rsidP="00BE1D40">
      <w:pPr>
        <w:spacing w:after="0" w:line="240" w:lineRule="auto"/>
        <w:jc w:val="both"/>
        <w:rPr>
          <w:rFonts w:ascii="Verdana" w:eastAsia="Times New Roman" w:hAnsi="Verdana" w:cs="Arial"/>
          <w:sz w:val="12"/>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rol acima não esgota os destinatários da gestão estratégica. As informações estratégicas poderão ser úteis para outras partes interessadas.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Este Plano de Comunicação concentrará o seu foco nos magistrados, nos servidores e nas unidades do PJERJ, na medida em que envolvidas com o processo de implementação da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 Informações sobre o modelo de gestão estratégica do PJERJ</w:t>
      </w:r>
    </w:p>
    <w:p w:rsidR="00BE1D40" w:rsidRPr="00BE1D40" w:rsidRDefault="00BE1D40" w:rsidP="00BE1D40">
      <w:pPr>
        <w:spacing w:after="0" w:line="240" w:lineRule="auto"/>
        <w:jc w:val="both"/>
        <w:rPr>
          <w:rFonts w:ascii="Verdana" w:eastAsia="Times New Roman" w:hAnsi="Verdana" w:cs="Arial"/>
          <w:sz w:val="14"/>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Compõem a gestão estratégica do PJERJ, para o biênio 2017</w:t>
      </w:r>
      <w:r w:rsidRPr="00BE1D40">
        <w:rPr>
          <w:rFonts w:ascii="Verdana" w:eastAsia="Times New Roman" w:hAnsi="Verdana" w:cs="Arial"/>
          <w:sz w:val="16"/>
          <w:szCs w:val="13"/>
          <w:lang w:eastAsia="pt-BR"/>
        </w:rPr>
        <w:noBreakHyphen/>
        <w:t>2018, as informações a seguir relacionadas.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4.1 Direcionadores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Conceito: norteadores da estratégia, englobando a missão, a visão, os valores e a política da qualidade; definem o direcionamento que a instituição deve seguir para a sua preservação ou para que se destaque em determinado cenário, harmonizando os esforços institucionais em prol de um mesmo rumo.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Documentos que divulgam os direcionadores estratégicos: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Mapa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Documento Estratégico do PJERJ (RAD</w:t>
      </w:r>
      <w:r w:rsidRPr="00BE1D40">
        <w:rPr>
          <w:rFonts w:ascii="Verdana" w:eastAsia="Times New Roman" w:hAnsi="Verdana" w:cs="Arial"/>
          <w:sz w:val="16"/>
          <w:szCs w:val="13"/>
          <w:lang w:eastAsia="pt-BR"/>
        </w:rPr>
        <w:noBreakHyphen/>
        <w:t>PJERJ</w:t>
      </w:r>
      <w:r w:rsidRPr="00BE1D40">
        <w:rPr>
          <w:rFonts w:ascii="Verdana" w:eastAsia="Times New Roman" w:hAnsi="Verdana" w:cs="Arial"/>
          <w:sz w:val="16"/>
          <w:szCs w:val="13"/>
          <w:lang w:eastAsia="pt-BR"/>
        </w:rPr>
        <w:noBreakHyphen/>
        <w:t>001).</w:t>
      </w:r>
    </w:p>
    <w:p w:rsidR="00BE1D40" w:rsidRPr="00BE1D40" w:rsidRDefault="00BE1D40" w:rsidP="00BE1D40">
      <w:pPr>
        <w:spacing w:after="0" w:line="240" w:lineRule="auto"/>
        <w:jc w:val="both"/>
        <w:rPr>
          <w:rFonts w:ascii="Verdana" w:eastAsia="Times New Roman" w:hAnsi="Verdana" w:cs="Arial"/>
          <w:sz w:val="2"/>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drawing>
          <wp:inline distT="0" distB="0" distL="0" distR="0">
            <wp:extent cx="4924425" cy="15906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1590675"/>
                    </a:xfrm>
                    <a:prstGeom prst="rect">
                      <a:avLst/>
                    </a:prstGeom>
                    <a:noFill/>
                    <a:ln>
                      <a:noFill/>
                    </a:ln>
                  </pic:spPr>
                </pic:pic>
              </a:graphicData>
            </a:graphic>
          </wp:inline>
        </w:drawing>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lastRenderedPageBreak/>
        <w:drawing>
          <wp:inline distT="0" distB="0" distL="0" distR="0">
            <wp:extent cx="4610100" cy="2524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2524125"/>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4.2 Temas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Conceito: desdobramentos da essência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Documentos que divulgam os temas estratégicos: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Mapa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drawing>
          <wp:inline distT="0" distB="0" distL="0" distR="0">
            <wp:extent cx="3505200" cy="34480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3448050"/>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4.3 Projetos estratégicos</w:t>
      </w:r>
    </w:p>
    <w:p w:rsidR="00BE1D40" w:rsidRPr="00BE1D40" w:rsidRDefault="00BE1D40" w:rsidP="00BE1D40">
      <w:pPr>
        <w:spacing w:after="0" w:line="240" w:lineRule="auto"/>
        <w:jc w:val="both"/>
        <w:rPr>
          <w:rFonts w:ascii="Verdana" w:eastAsia="Times New Roman" w:hAnsi="Verdana" w:cs="Arial"/>
          <w:sz w:val="16"/>
          <w:szCs w:val="10"/>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Conceito:</w:t>
      </w:r>
      <w:r w:rsidRPr="00BE1D40">
        <w:rPr>
          <w:rFonts w:ascii="Verdana" w:eastAsia="Times New Roman" w:hAnsi="Verdana" w:cs="Arial"/>
          <w:sz w:val="16"/>
          <w:szCs w:val="13"/>
          <w:lang w:eastAsia="pt-BR"/>
        </w:rPr>
        <w:t xml:space="preserve"> projetos cuja abrangência ou complexidade impactam a estrutura do PJERJ, por razões técnicas, econômicas, políticas ou outras. Esses projetos são a forma de concretizar os temas estrat</w:t>
      </w:r>
      <w:r w:rsidRPr="00BE1D40">
        <w:rPr>
          <w:rFonts w:ascii="Arial" w:eastAsia="Times New Roman" w:hAnsi="Verdana" w:cs="Arial"/>
          <w:sz w:val="16"/>
          <w:szCs w:val="13"/>
          <w:lang w:eastAsia="pt-BR"/>
        </w:rPr>
        <w:t>é</w:t>
      </w:r>
      <w:r w:rsidRPr="00BE1D40">
        <w:rPr>
          <w:rFonts w:ascii="Verdana" w:eastAsia="Times New Roman" w:hAnsi="Verdana" w:cs="Arial"/>
          <w:sz w:val="16"/>
          <w:szCs w:val="13"/>
          <w:lang w:eastAsia="pt-BR"/>
        </w:rPr>
        <w:t>gicos. Os projetos selecionados para implementação no biênio 2017</w:t>
      </w:r>
      <w:r w:rsidRPr="00BE1D40">
        <w:rPr>
          <w:rFonts w:ascii="Verdana" w:eastAsia="Times New Roman" w:hAnsi="Verdana" w:cs="Arial"/>
          <w:sz w:val="16"/>
          <w:szCs w:val="13"/>
          <w:lang w:eastAsia="pt-BR"/>
        </w:rPr>
        <w:noBreakHyphen/>
        <w:t>2018 viabilizam os temas estratégicos.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Documento que divulga os projetos estratégicos: Plano Estratégico.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4.4 Gestão por processos de trabalho (estratégia x operação)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b/>
          <w:sz w:val="16"/>
          <w:szCs w:val="13"/>
          <w:lang w:eastAsia="pt-BR"/>
        </w:rPr>
        <w:t>Conceito:</w:t>
      </w:r>
      <w:r w:rsidRPr="00BE1D40">
        <w:rPr>
          <w:rFonts w:ascii="Verdana" w:eastAsia="Times New Roman" w:hAnsi="Verdana" w:cs="Arial"/>
          <w:sz w:val="16"/>
          <w:szCs w:val="13"/>
          <w:lang w:eastAsia="pt-BR"/>
        </w:rPr>
        <w:t xml:space="preserve"> o compromisso da gestão estratégica é o aprimoramento do PJERJ, rumo à visão estabelecida; a gestão operacional almeja a eficácia (obtenção de resultados), a eficiência (utilização adequada dos recursos), a efetividade e as melhorias contínuas, mediante a adoção de boas práticas do trabalho cotidiano, decorrentes do conjunto de esforços harmônicos empreendidos pela administração superior do PJERJ, pelos magistrados, pelos servidores e demais parceiros intervenientes.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Documento que divulga a gestão por processos de trabalho: Rotinas Administrativas</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lastRenderedPageBreak/>
        <w:drawing>
          <wp:inline distT="0" distB="0" distL="0" distR="0">
            <wp:extent cx="4953000" cy="2828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828925"/>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Resolução TJ/OE nº 16/2015 (estabelece a política de gestão estratégica e atualiza as diretrizes para o planejamento estratégico institucional do PJERJ) busca promover o alinhamento entre a gestão estratégica e a gestão operacional, visando ao aperfeiçoamento da comunicação operacional e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5 Meios de comunicação e divulgação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estratégia de divulgação faz uso de diversos mecanismos, meios e canais de comunicação multimídia. O Plano de Comunicação da Estratégia se apoia tanto nas novas tecnologias de informação e comunicação (ex. portal do PJERJ), quanto em canais tradicionais. O emprego de novas tecnologias potencializa a troca de informação rápida, eficaz e atualizável, em curto intervalo de tempo e baixa aplicação de recursos. São utilizadas, também, formas tradicionais de divulgação, de modo a ampliar o acesso à informação sobre as intenções e o monitoramento dos resultados alcançados.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Para o público externo, as informações sobre a gestão estratégica estão disponibilizadas no portal do PJERJ, com acesso irrestrito via Internet.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Para o público interno, além do portal intranet do PJERJ, estão disponíveis na rede as informações pertinentes à estratégia (organizadas no mesmo formato da Internet), documentos específicos sobre o tema, complementados com a participação em reuniões e eventos para notificação dos resultados alcançados.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Cabe destacar que, atualmente, com a Lei de Acesso à informação, praticamente não há separação entre o que se disponibiliza na internet e na intranet no PJERJ.</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figura a seguir ilustra os diferentes canais de acesso às informações estratégicas: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drawing>
          <wp:inline distT="0" distB="0" distL="0" distR="0">
            <wp:extent cx="4581525" cy="21240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124075"/>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6 Documentos para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Estão disponíveis os seguintes documentos para veiculação dos princípios e da metodologia de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 xml:space="preserve">Planejamento Estratégico – define os princípios, alinha e orienta os esforços da governança corporativa do PJERJ, esforços desdobrados tanto na gestão estratégica quanto na gestão operacional, com o propósito de estabelecer mecanismos robustos de gestão eficaz, eficiente e efetiva, bem como práticas inerentes à economicidade, principal premissa de trabalho da atual gestão do PJERJ. O Planejamento Estratégico abarca os seguintes documentos: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Mapa Estratégico do PJERJ – representação em formato de diagrama de processos de gestão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Portfólio de projetos estratégicos – informa os projetos estratégicos estabelecidos para o biênio 2017</w:t>
      </w:r>
      <w:r w:rsidRPr="00BE1D40">
        <w:rPr>
          <w:rFonts w:ascii="Verdana" w:eastAsia="Times New Roman" w:hAnsi="Verdana" w:cs="Arial"/>
          <w:sz w:val="16"/>
          <w:szCs w:val="13"/>
          <w:lang w:eastAsia="pt-BR"/>
        </w:rPr>
        <w:noBreakHyphen/>
        <w:t>2018, bem como os resumos dos escopos e respectivos responsáveis.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Plano Estratégico do PJERJ – estabelece a estrutura da gestão estratégica do PJERJ, a partir de temas, indicadores e projetos estratégicos para o biênio 2017</w:t>
      </w:r>
      <w:r w:rsidRPr="00BE1D40">
        <w:rPr>
          <w:rFonts w:ascii="Verdana" w:eastAsia="Times New Roman" w:hAnsi="Verdana" w:cs="Arial"/>
          <w:sz w:val="16"/>
          <w:szCs w:val="13"/>
          <w:lang w:eastAsia="pt-BR"/>
        </w:rPr>
        <w:noBreakHyphen/>
        <w:t>2018.</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Matriz de Indicadores do PJERJ – apresenta os indicadores estratégicos estabelecidos pelo CNJ e sua evolução.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TJERJ em números – documento que consolida informações e indicadores estratégicos do PJERJ, permitindo à administração superior e aos diversos públicos, uma visão abrangente da Instituição.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Relatório de Informações Gerenciais (RIGER) – documento que consolida as informações semestrais e anuais das unidades administrativas, contemplando dados do TJERJ em números, progresso dos projetos estratégicos, indicadores do quadro de bordo, situação das metas nacionais do CNJ, principais realizações do período, destaques de economicidade e situação dos recursos.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Rotina administrativa “Consolidar e Divulgar Informações Gerenciais” (RAD</w:t>
      </w:r>
      <w:r w:rsidRPr="00BE1D40">
        <w:rPr>
          <w:rFonts w:ascii="Verdana" w:eastAsia="Times New Roman" w:hAnsi="Verdana" w:cs="Arial"/>
          <w:sz w:val="16"/>
          <w:szCs w:val="13"/>
          <w:lang w:eastAsia="pt-BR"/>
        </w:rPr>
        <w:noBreakHyphen/>
        <w:t>PJERJ</w:t>
      </w:r>
      <w:r w:rsidRPr="00BE1D40">
        <w:rPr>
          <w:rFonts w:ascii="Verdana" w:eastAsia="Times New Roman" w:hAnsi="Verdana" w:cs="Arial"/>
          <w:sz w:val="16"/>
          <w:szCs w:val="13"/>
          <w:lang w:eastAsia="pt-BR"/>
        </w:rPr>
        <w:noBreakHyphen/>
        <w:t>007) – documento normativo que estabelece critérios e procedimentos para consolidação e divulgação de informações gerenciais pelas unidades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7 Canais de comunicação da estratégia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Os canais de comunicação via Portal do PJERJ transmitem conhecimento acerca dos documentos anteriormente mencionados, produzidos pelo PJERJ, bem como informações sobre o CNJ e sobre a transparência institucional.</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Entre os documentos e informações relacionados à estratégia institucional, que podem ser acessados por todos os públicos no portal do PJERJ estão: Plano Estratégico do PJERJ, Matriz de Indicadores do PJERJ, Mapa Estratégico do PJERJ e Portfólio de Projetos Estratégicos do PJERJ.</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8 Reuniões e eventos</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No que se refere às reuniões e eventos, destaca</w:t>
      </w:r>
      <w:r w:rsidRPr="00BE1D40">
        <w:rPr>
          <w:rFonts w:ascii="Verdana" w:eastAsia="Times New Roman" w:hAnsi="Verdana" w:cs="Arial"/>
          <w:sz w:val="16"/>
          <w:szCs w:val="13"/>
          <w:lang w:eastAsia="pt-BR"/>
        </w:rPr>
        <w:noBreakHyphen/>
        <w:t>se a Reunião de Análise da Estratégia (RAE), promovida pelo PJERJ a intervalos determinados. Nela são definidas e acompanhadas as ações estabelecidas para o período em curso, bem como formuladas as ações para o período subsequente. Dela participam os magistrados que compõem a administração superior do PJERJ, os diretores</w:t>
      </w:r>
      <w:r w:rsidRPr="00BE1D40">
        <w:rPr>
          <w:rFonts w:ascii="Verdana" w:eastAsia="Times New Roman" w:hAnsi="Verdana" w:cs="Arial"/>
          <w:sz w:val="16"/>
          <w:szCs w:val="13"/>
          <w:lang w:eastAsia="pt-BR"/>
        </w:rPr>
        <w:noBreakHyphen/>
        <w:t>gerais e os representantes das associações de classes de magistrados e de servidores. O procedimento para a realização da RAE consta das RAD</w:t>
      </w:r>
      <w:r w:rsidRPr="00BE1D40">
        <w:rPr>
          <w:rFonts w:ascii="Verdana" w:eastAsia="Times New Roman" w:hAnsi="Verdana" w:cs="Arial"/>
          <w:sz w:val="16"/>
          <w:szCs w:val="13"/>
          <w:lang w:eastAsia="pt-BR"/>
        </w:rPr>
        <w:noBreakHyphen/>
        <w:t>PJERJ</w:t>
      </w:r>
      <w:r w:rsidRPr="00BE1D40">
        <w:rPr>
          <w:rFonts w:ascii="Verdana" w:eastAsia="Times New Roman" w:hAnsi="Verdana" w:cs="Arial"/>
          <w:sz w:val="16"/>
          <w:szCs w:val="13"/>
          <w:lang w:eastAsia="pt-BR"/>
        </w:rPr>
        <w:noBreakHyphen/>
        <w:t>006 e 007.</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Merecem destaque as reuniões da Comissão de Gestão Estratégica e Planejamento (COGEP), colegiado administrativo responsável pelo apoio à Administração Superior na definição das linhas gerais relacionadas à estratégia institucional e seu monitoramento.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9 Critérios de difusão da informação estratégica</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O estabelecimento de critérios para a comunicação da estratégia vincula</w:t>
      </w:r>
      <w:r w:rsidRPr="00BE1D40">
        <w:rPr>
          <w:rFonts w:ascii="Verdana" w:eastAsia="Times New Roman" w:hAnsi="Verdana" w:cs="Arial"/>
          <w:sz w:val="16"/>
          <w:szCs w:val="13"/>
          <w:lang w:eastAsia="pt-BR"/>
        </w:rPr>
        <w:noBreakHyphen/>
        <w:t>se à necessidade de verificação das informações, do público</w:t>
      </w:r>
      <w:r w:rsidRPr="00BE1D40">
        <w:rPr>
          <w:rFonts w:ascii="Verdana" w:eastAsia="Times New Roman" w:hAnsi="Verdana" w:cs="Arial"/>
          <w:sz w:val="16"/>
          <w:szCs w:val="13"/>
          <w:lang w:eastAsia="pt-BR"/>
        </w:rPr>
        <w:noBreakHyphen/>
        <w:t xml:space="preserve">alvo e da legitimidade da fonte emissora antes de sua difusão.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divulgação seletiva da informação estratégica relaciona</w:t>
      </w:r>
      <w:r w:rsidRPr="00BE1D40">
        <w:rPr>
          <w:rFonts w:ascii="Verdana" w:eastAsia="Times New Roman" w:hAnsi="Verdana" w:cs="Arial"/>
          <w:sz w:val="16"/>
          <w:szCs w:val="13"/>
          <w:lang w:eastAsia="pt-BR"/>
        </w:rPr>
        <w:noBreakHyphen/>
        <w:t xml:space="preserve">se à hierarquia organizacional, em seus níveis estratégico, tático e operacional. </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Informações estritamente estratégicas são transmitidas aos membros de mesmo nível e/ou de nível imediatamente inferior, ou, a critério da administração superior, até o nível operacional, no que for necessário. Informações estratégicas gerais podem ser disponibilizadas na internet ou por outros meios necessários, conforme orientação da administração superior.</w:t>
      </w:r>
    </w:p>
    <w:p w:rsidR="00BE1D40" w:rsidRPr="00BE1D40" w:rsidRDefault="00BE1D40" w:rsidP="00BE1D40">
      <w:pPr>
        <w:spacing w:after="0" w:line="240" w:lineRule="auto"/>
        <w:jc w:val="center"/>
        <w:rPr>
          <w:rFonts w:ascii="Verdana" w:eastAsia="Times New Roman" w:hAnsi="Verdana" w:cs="Arial"/>
          <w:sz w:val="16"/>
          <w:szCs w:val="13"/>
          <w:lang w:eastAsia="pt-BR"/>
        </w:rPr>
      </w:pPr>
      <w:r w:rsidRPr="00BE1D40">
        <w:rPr>
          <w:rFonts w:ascii="Verdana" w:eastAsia="Times New Roman" w:hAnsi="Verdana" w:cs="Arial"/>
          <w:noProof/>
          <w:sz w:val="16"/>
          <w:szCs w:val="13"/>
          <w:lang w:eastAsia="pt-BR"/>
        </w:rPr>
        <w:lastRenderedPageBreak/>
        <w:drawing>
          <wp:inline distT="0" distB="0" distL="0" distR="0">
            <wp:extent cx="4810125" cy="3390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3390900"/>
                    </a:xfrm>
                    <a:prstGeom prst="rect">
                      <a:avLst/>
                    </a:prstGeom>
                    <a:noFill/>
                    <a:ln>
                      <a:noFill/>
                    </a:ln>
                  </pic:spPr>
                </pic:pic>
              </a:graphicData>
            </a:graphic>
          </wp:inline>
        </w:drawing>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 difusão da informação estratégica pode ser classificada a partir dos seguintes filtros mínimos:</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Alto Grau de Difusão: a informação específica é amplamente difundida na organização e está livremente disponível para consulta;</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Médio Grau de Difusão: a informação específica é transmitida de acordo com a necessidade, até o nível tático da organização;</w:t>
      </w: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Baixo Grau de Difusão: a informação específica é transmitida somente para o nível estratégico da organização, por razões de sigilo, interesse institucional ou natureza do conteúdo.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10 Mecanismos de comunicação e público</w:t>
      </w:r>
      <w:r w:rsidRPr="00BE1D40">
        <w:rPr>
          <w:rFonts w:ascii="Verdana" w:eastAsia="Times New Roman" w:hAnsi="Verdana" w:cs="Arial"/>
          <w:sz w:val="16"/>
          <w:szCs w:val="13"/>
          <w:lang w:eastAsia="pt-BR"/>
        </w:rPr>
        <w:noBreakHyphen/>
        <w:t>alvo</w:t>
      </w:r>
    </w:p>
    <w:p w:rsidR="00BE1D40" w:rsidRPr="00BE1D40" w:rsidRDefault="00BE1D40" w:rsidP="00BE1D40">
      <w:pPr>
        <w:spacing w:after="0" w:line="240" w:lineRule="auto"/>
        <w:jc w:val="both"/>
        <w:rPr>
          <w:rFonts w:ascii="Verdana" w:eastAsia="Times New Roman" w:hAnsi="Verdana" w:cs="Arial"/>
          <w:sz w:val="16"/>
          <w:szCs w:val="13"/>
          <w:lang w:eastAsia="pt-BR"/>
        </w:rPr>
      </w:pPr>
    </w:p>
    <w:p w:rsidR="00BE1D40" w:rsidRPr="00BE1D40" w:rsidRDefault="00BE1D40" w:rsidP="00BE1D40">
      <w:pPr>
        <w:spacing w:after="0" w:line="240" w:lineRule="auto"/>
        <w:jc w:val="both"/>
        <w:rPr>
          <w:rFonts w:ascii="Verdana" w:eastAsia="Times New Roman" w:hAnsi="Verdana" w:cs="Arial"/>
          <w:sz w:val="16"/>
          <w:szCs w:val="13"/>
          <w:lang w:eastAsia="pt-BR"/>
        </w:rPr>
      </w:pPr>
      <w:r w:rsidRPr="00BE1D40">
        <w:rPr>
          <w:rFonts w:ascii="Verdana" w:eastAsia="Times New Roman" w:hAnsi="Verdana" w:cs="Arial"/>
          <w:sz w:val="16"/>
          <w:szCs w:val="13"/>
          <w:lang w:eastAsia="pt-BR"/>
        </w:rPr>
        <w:t>Seguem os documentos e mecanismos de comunicação da estratégia no PJERJ, com os respectivos destinatários preliminares da informação.</w:t>
      </w:r>
    </w:p>
    <w:p w:rsidR="00BE1D40" w:rsidRPr="00BE1D40" w:rsidRDefault="00BE1D40" w:rsidP="00BE1D40">
      <w:pPr>
        <w:spacing w:after="0" w:line="240" w:lineRule="auto"/>
        <w:jc w:val="both"/>
        <w:rPr>
          <w:rFonts w:ascii="Verdana" w:eastAsia="Times New Roman" w:hAnsi="Verdana" w:cs="Arial"/>
          <w:sz w:val="16"/>
          <w:szCs w:val="13"/>
          <w:lang w:eastAsia="pt-BR"/>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0"/>
        <w:gridCol w:w="3893"/>
        <w:gridCol w:w="3148"/>
      </w:tblGrid>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DOCUMENTO DE DIVULGAÇÃO</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MECANISMO DE COMUNICAÇÃO</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PÚBLICO</w:t>
            </w:r>
            <w:r w:rsidRPr="00BE1D40">
              <w:rPr>
                <w:rFonts w:ascii="Verdana" w:eastAsia="Times New Roman" w:hAnsi="Verdana" w:cs="Arial"/>
                <w:sz w:val="16"/>
              </w:rPr>
              <w:noBreakHyphen/>
              <w:t>ALVO DESTINATÁRIO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Plano Estratégico do PJERJ</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Matriz de Indicadores do PJERJ</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Mapa Estratégico do PJERJ</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Portfólio de Projetos Estratégicos do PJERJ</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TJERJ em Números</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PJERJl</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Relatório de Informações Gerenciais (RIGER)</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 xml:space="preserve"> 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Rotinas Administrativas (RAD)</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 e externo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 xml:space="preserve">Reuniões de Análise da Estratégia (RAE) </w:t>
            </w:r>
            <w:r w:rsidRPr="00BE1D40">
              <w:rPr>
                <w:rFonts w:ascii="Verdana" w:eastAsia="Times New Roman" w:hAnsi="Verdana" w:cs="Arial"/>
                <w:sz w:val="16"/>
              </w:rPr>
              <w:noBreakHyphen/>
              <w:t xml:space="preserve"> atas de reunião</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reuniões e eventos</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w:t>
            </w:r>
          </w:p>
        </w:tc>
      </w:tr>
      <w:tr w:rsidR="00BE1D40" w:rsidRPr="00BE1D40" w:rsidTr="00997239">
        <w:trPr>
          <w:trHeight w:val="57"/>
          <w:jc w:val="center"/>
        </w:trPr>
        <w:tc>
          <w:tcPr>
            <w:tcW w:w="37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Cartilhas, folhetos, apresentações, formulários sobre o funcionamento do PJERJ etc.</w:t>
            </w:r>
          </w:p>
        </w:tc>
        <w:tc>
          <w:tcPr>
            <w:tcW w:w="3893"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processos de RH</w:t>
            </w: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(recepção e integração de servidores)</w:t>
            </w:r>
          </w:p>
        </w:tc>
        <w:tc>
          <w:tcPr>
            <w:tcW w:w="3148"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interno</w:t>
            </w:r>
          </w:p>
        </w:tc>
      </w:tr>
    </w:tbl>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11 Periodicidade da comunicação da estratégia</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 xml:space="preserve">A periodicidade e a frequência da comunicação da estratégia, como regra geral, são definidas e cumpridas de acordo com a necessidade verificada pela administração superior. </w:t>
      </w: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Há mecanismos, ferramentas e eventos de comunicação da estratégia que apresentam periodicidade pré</w:t>
      </w:r>
      <w:r w:rsidRPr="00BE1D40">
        <w:rPr>
          <w:rFonts w:ascii="Verdana" w:eastAsia="Times New Roman" w:hAnsi="Verdana" w:cs="Arial"/>
          <w:sz w:val="16"/>
        </w:rPr>
        <w:noBreakHyphen/>
        <w:t>definida, estabelecendo, portanto, uma frequência específica, conforme destacado no presente Plano de Comunicação.</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12 Difusão das informações estratégicas nas esferas de atividades do PJERJ</w:t>
      </w:r>
    </w:p>
    <w:p w:rsidR="00BE1D40" w:rsidRPr="00BE1D40" w:rsidRDefault="00BE1D40" w:rsidP="00BE1D40">
      <w:pPr>
        <w:spacing w:after="0" w:line="240" w:lineRule="auto"/>
        <w:jc w:val="both"/>
        <w:rPr>
          <w:rFonts w:ascii="Verdana" w:eastAsia="Times New Roman" w:hAnsi="Verdana" w:cs="Arial"/>
          <w:sz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4536"/>
        <w:gridCol w:w="3205"/>
      </w:tblGrid>
      <w:tr w:rsidR="00BE1D40" w:rsidRPr="00BE1D40" w:rsidTr="00997239">
        <w:trPr>
          <w:trHeight w:val="57"/>
          <w:jc w:val="center"/>
        </w:trPr>
        <w:tc>
          <w:tcPr>
            <w:tcW w:w="30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ESFERA DE ATIVIDADE</w:t>
            </w:r>
          </w:p>
        </w:tc>
        <w:tc>
          <w:tcPr>
            <w:tcW w:w="4536"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MEIO DE DIFUSÃO</w:t>
            </w:r>
          </w:p>
        </w:tc>
        <w:tc>
          <w:tcPr>
            <w:tcW w:w="3205"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TIPO DE DIFUSÃO</w:t>
            </w:r>
          </w:p>
        </w:tc>
      </w:tr>
      <w:tr w:rsidR="00BE1D40" w:rsidRPr="00BE1D40" w:rsidTr="00997239">
        <w:trPr>
          <w:trHeight w:val="57"/>
          <w:jc w:val="center"/>
        </w:trPr>
        <w:tc>
          <w:tcPr>
            <w:tcW w:w="30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1º Grau</w:t>
            </w:r>
          </w:p>
        </w:tc>
        <w:tc>
          <w:tcPr>
            <w:tcW w:w="4536"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 E</w:t>
            </w:r>
            <w:r w:rsidRPr="00BE1D40">
              <w:rPr>
                <w:rFonts w:ascii="Verdana" w:eastAsia="Times New Roman" w:hAnsi="Verdana" w:cs="Arial"/>
                <w:sz w:val="16"/>
              </w:rPr>
              <w:noBreakHyphen/>
              <w:t>mail Institucional.</w:t>
            </w:r>
          </w:p>
        </w:tc>
        <w:tc>
          <w:tcPr>
            <w:tcW w:w="3205"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Comunicação ativa e passiva</w:t>
            </w:r>
          </w:p>
        </w:tc>
      </w:tr>
      <w:tr w:rsidR="00BE1D40" w:rsidRPr="00BE1D40" w:rsidTr="00997239">
        <w:trPr>
          <w:trHeight w:val="57"/>
          <w:jc w:val="center"/>
        </w:trPr>
        <w:tc>
          <w:tcPr>
            <w:tcW w:w="30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2º grau</w:t>
            </w:r>
          </w:p>
        </w:tc>
        <w:tc>
          <w:tcPr>
            <w:tcW w:w="4536"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 E</w:t>
            </w:r>
            <w:r w:rsidRPr="00BE1D40">
              <w:rPr>
                <w:rFonts w:ascii="Verdana" w:eastAsia="Times New Roman" w:hAnsi="Verdana" w:cs="Arial"/>
                <w:sz w:val="16"/>
              </w:rPr>
              <w:noBreakHyphen/>
              <w:t>mail Institucional.</w:t>
            </w:r>
          </w:p>
        </w:tc>
        <w:tc>
          <w:tcPr>
            <w:tcW w:w="3205"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Comunicação ativa e passiva</w:t>
            </w:r>
          </w:p>
        </w:tc>
      </w:tr>
      <w:tr w:rsidR="00BE1D40" w:rsidRPr="00BE1D40" w:rsidTr="00997239">
        <w:trPr>
          <w:trHeight w:val="57"/>
          <w:jc w:val="center"/>
        </w:trPr>
        <w:tc>
          <w:tcPr>
            <w:tcW w:w="3030"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Administração</w:t>
            </w:r>
          </w:p>
        </w:tc>
        <w:tc>
          <w:tcPr>
            <w:tcW w:w="4536"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Portal do PJERJ; E</w:t>
            </w:r>
            <w:r w:rsidRPr="00BE1D40">
              <w:rPr>
                <w:rFonts w:ascii="Verdana" w:eastAsia="Times New Roman" w:hAnsi="Verdana" w:cs="Arial"/>
                <w:sz w:val="16"/>
              </w:rPr>
              <w:noBreakHyphen/>
              <w:t>mail Institucional; Reuniões; RIGER.</w:t>
            </w:r>
          </w:p>
        </w:tc>
        <w:tc>
          <w:tcPr>
            <w:tcW w:w="3205" w:type="dxa"/>
            <w:shd w:val="clear" w:color="auto" w:fill="auto"/>
            <w:vAlign w:val="center"/>
          </w:tcPr>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Comunicação ativa e passiva</w:t>
            </w:r>
          </w:p>
        </w:tc>
      </w:tr>
    </w:tbl>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lastRenderedPageBreak/>
        <w:t>Para a Administração Superior, a difusão das informações estratégicas se dá por meio de reuniões específicas, apresentações, relatórios e quaisquer outros meios que a administração entenda convenientes e necessários.</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13 Custos da comunicação da estratégia</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 xml:space="preserve">A maioria dos mecanismos e ferramentas relacionados à comunicação da estratégia no PJERJ já está implementada e não apresenta custos significativos de utilização e manutenção, obedecendo à política de economicidade institucional. </w:t>
      </w: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Eventuais aquisições e investimentos serão tratados como projetos estratégicos ou projetos da gestão operacional e terão os seus custos específicos inseridos no Plano de Ação Governamental (PAG).</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14 Esquematização dos eventos do Plano de Comunicação</w:t>
      </w:r>
    </w:p>
    <w:p w:rsidR="00BE1D40" w:rsidRPr="00BE1D40" w:rsidRDefault="00BE1D40" w:rsidP="00BE1D40">
      <w:pPr>
        <w:spacing w:after="0" w:line="240" w:lineRule="auto"/>
        <w:jc w:val="both"/>
        <w:rPr>
          <w:rFonts w:ascii="Verdana" w:eastAsia="Times New Roman" w:hAnsi="Verdana" w:cs="Arial"/>
          <w:sz w:val="16"/>
        </w:rPr>
      </w:pPr>
    </w:p>
    <w:p w:rsidR="00BE1D40" w:rsidRPr="00BE1D40" w:rsidRDefault="00BE1D40" w:rsidP="00BE1D40">
      <w:pPr>
        <w:spacing w:after="0" w:line="240" w:lineRule="auto"/>
        <w:jc w:val="both"/>
        <w:rPr>
          <w:rFonts w:ascii="Verdana" w:eastAsia="Times New Roman" w:hAnsi="Verdana" w:cs="Arial"/>
          <w:sz w:val="16"/>
        </w:rPr>
      </w:pPr>
      <w:r w:rsidRPr="00BE1D40">
        <w:rPr>
          <w:rFonts w:ascii="Verdana" w:eastAsia="Times New Roman" w:hAnsi="Verdana" w:cs="Arial"/>
          <w:sz w:val="16"/>
        </w:rPr>
        <w:t>Sobrelevam os seguintes eventos específicos, no PJERJ, vinculados especificamente à gestão estratégica, seus documentos e formas de comunicação e divulgação:</w:t>
      </w:r>
    </w:p>
    <w:tbl>
      <w:tblPr>
        <w:tblW w:w="107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4"/>
        <w:gridCol w:w="2685"/>
        <w:gridCol w:w="1074"/>
        <w:gridCol w:w="1719"/>
        <w:gridCol w:w="1587"/>
        <w:gridCol w:w="1932"/>
      </w:tblGrid>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EVENTO</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DESCRIÇÃO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PÚBLICO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RESPONSÁVEL</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MEIO DE DIVULGAÇÃO</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FREQUÊNCIA</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Elaboração dos documentos da gestão estratégica</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Plano Estratégico, Matriz de Indicadores, Mapa Estratégico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 e externo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DEGEP</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portal do PJERJ</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pelo menos anual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Definição dos projetos estratégicos</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indicação dos projetos que irão compor o portfólio para o biênio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Presidência</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pelo menos anual ou quando aprovado novo projeto</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Elaboração de documentos de apoio à gestão estratégica</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elaboração/ revisão de rotina administrativa, modelos de relatórios de informações gerenciais</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DEGEP</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portal do PJERJ</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pelo menos anual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Divulgação dos documentos da gestão estratégica</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disponibilização dos seguintes documentos: Plano Estratégico, Matriz de Indicadores, Mapa Estratégico e Portfólio de Projetos</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 e externo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DEGEP/</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DGTEC</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portal do PJERJ</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 acordo com a periodicidade definida na Política de Gestão Estratégica do PJERJ</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Revisão dos direcionadores estratégicos e dos documentos da gestão estratégica</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realização de reunião para obter a validação dos direcionadores estratégicos e confirmação dos projetos para o ano em curso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Presidência/ DEGEP</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notícias no portal</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sala de imprensa</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pelo menos anual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EVENTO</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DESCRIÇÃO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PÚBLICO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RESPONSÁVEL</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MEIO DE DIVULGAÇÃO</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FREQUÊNCIA</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Reuniões de Análise da Estratégia (RAE)</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convocação e realização de reuniões periódicas para avaliação da gestão estratégica</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Presidência /</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unidades administrativas / associações</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preferencialmente</w:t>
            </w:r>
          </w:p>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quadrimestral e à critério da Administração</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Reuniões dos Diretores</w:t>
            </w:r>
            <w:r w:rsidRPr="00BE1D40">
              <w:rPr>
                <w:rFonts w:ascii="Verdana" w:eastAsia="Times New Roman" w:hAnsi="Verdana" w:cs="Arial"/>
                <w:noProof/>
                <w:sz w:val="16"/>
                <w:lang w:eastAsia="pt-BR"/>
              </w:rPr>
              <w:noBreakHyphen/>
              <w:t>Gerais</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convocação e realização de reuniões periódicas para avaliação da gestão operacional</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unidades administrativas</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quando aplicável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Elaboração de Relatórios de Informações Gerenciais (RIGER)</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relatórios que consolidam os resultados da gestão estratégica, incluindo o monitoramento dos projetos e indicadores estratégicos (disponível no portal do PJERJ)</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 e externo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unidades administrativas</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portal do PJERJ</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semestral e anual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Consolidação do TJERJ em Números</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quadro que consolida informações e indicadores estratégicos do PJERJ, permitindo, especialmente à administração superior, uma visão abrangente da Instituição</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unidades administrativas/ DEGEP</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e</w:t>
            </w:r>
            <w:r w:rsidRPr="00BE1D40">
              <w:rPr>
                <w:rFonts w:ascii="Verdana" w:eastAsia="Times New Roman" w:hAnsi="Verdana" w:cs="Arial"/>
                <w:sz w:val="16"/>
              </w:rPr>
              <w:noBreakHyphen/>
              <w:t>mail para as unidades</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mensal</w:t>
            </w:r>
          </w:p>
        </w:tc>
      </w:tr>
      <w:tr w:rsidR="00BE1D40" w:rsidRPr="00BE1D40" w:rsidTr="00997239">
        <w:trPr>
          <w:cantSplit/>
          <w:trHeight w:val="57"/>
          <w:tblHeader/>
          <w:jc w:val="right"/>
        </w:trPr>
        <w:tc>
          <w:tcPr>
            <w:tcW w:w="1726" w:type="dxa"/>
            <w:vAlign w:val="center"/>
          </w:tcPr>
          <w:p w:rsidR="00BE1D40" w:rsidRPr="00BE1D40" w:rsidRDefault="00BE1D40" w:rsidP="00BE1D40">
            <w:pPr>
              <w:spacing w:after="0" w:line="240" w:lineRule="auto"/>
              <w:rPr>
                <w:rFonts w:ascii="Verdana" w:eastAsia="Times New Roman" w:hAnsi="Verdana" w:cs="Arial"/>
                <w:noProof/>
                <w:sz w:val="16"/>
                <w:lang w:eastAsia="pt-BR"/>
              </w:rPr>
            </w:pPr>
            <w:r w:rsidRPr="00BE1D40">
              <w:rPr>
                <w:rFonts w:ascii="Verdana" w:eastAsia="Times New Roman" w:hAnsi="Verdana" w:cs="Arial"/>
                <w:noProof/>
                <w:sz w:val="16"/>
                <w:lang w:eastAsia="pt-BR"/>
              </w:rPr>
              <w:t>Elaboração e revisão de Rotinas Administrativas (RAD), vinculadas à estratégia institucional</w:t>
            </w:r>
          </w:p>
        </w:tc>
        <w:tc>
          <w:tcPr>
            <w:tcW w:w="261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mapeamento dos processos de trabalho do PJERJ, incluindo aqueles vinculados ao planejamento e execução da estratégia institucional (disponível no portal do PJERJ)</w:t>
            </w:r>
          </w:p>
        </w:tc>
        <w:tc>
          <w:tcPr>
            <w:tcW w:w="1045"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interno e externo</w:t>
            </w:r>
          </w:p>
        </w:tc>
        <w:tc>
          <w:tcPr>
            <w:tcW w:w="1672"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DEGEP</w:t>
            </w:r>
          </w:p>
        </w:tc>
        <w:tc>
          <w:tcPr>
            <w:tcW w:w="1544"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portal do PJERJ</w:t>
            </w:r>
          </w:p>
        </w:tc>
        <w:tc>
          <w:tcPr>
            <w:tcW w:w="1880" w:type="dxa"/>
            <w:vAlign w:val="center"/>
          </w:tcPr>
          <w:p w:rsidR="00BE1D40" w:rsidRPr="00BE1D40" w:rsidRDefault="00BE1D40" w:rsidP="00BE1D40">
            <w:pPr>
              <w:spacing w:after="0" w:line="240" w:lineRule="auto"/>
              <w:rPr>
                <w:rFonts w:ascii="Verdana" w:eastAsia="Times New Roman" w:hAnsi="Verdana" w:cs="Arial"/>
                <w:sz w:val="16"/>
              </w:rPr>
            </w:pPr>
            <w:r w:rsidRPr="00BE1D40">
              <w:rPr>
                <w:rFonts w:ascii="Verdana" w:eastAsia="Times New Roman" w:hAnsi="Verdana" w:cs="Arial"/>
                <w:sz w:val="16"/>
              </w:rPr>
              <w:t>pelo menos anual</w:t>
            </w:r>
          </w:p>
        </w:tc>
      </w:tr>
    </w:tbl>
    <w:p w:rsidR="00BE1D40" w:rsidRPr="00BE1D40" w:rsidRDefault="00BE1D40" w:rsidP="00BE1D40">
      <w:pPr>
        <w:spacing w:after="0" w:line="240" w:lineRule="auto"/>
        <w:jc w:val="both"/>
        <w:rPr>
          <w:rFonts w:ascii="Verdana" w:eastAsia="Times New Roman" w:hAnsi="Verdana" w:cs="Arial"/>
          <w:sz w:val="16"/>
        </w:rPr>
      </w:pPr>
    </w:p>
    <w:p w:rsidR="00E66894" w:rsidRDefault="00E66894" w:rsidP="00823B74">
      <w:pPr>
        <w:tabs>
          <w:tab w:val="center" w:pos="4419"/>
          <w:tab w:val="right" w:pos="8838"/>
        </w:tabs>
        <w:spacing w:after="0" w:line="240" w:lineRule="auto"/>
        <w:rPr>
          <w:rFonts w:ascii="Segoe UI" w:hAnsi="Segoe UI" w:cs="Segoe UI"/>
          <w:color w:val="000000"/>
          <w:sz w:val="20"/>
          <w:szCs w:val="20"/>
          <w:shd w:val="clear" w:color="auto" w:fill="FFFFFF"/>
        </w:rPr>
      </w:pPr>
    </w:p>
    <w:p w:rsidR="00B03A51" w:rsidRDefault="00B03A51" w:rsidP="00823B74">
      <w:pPr>
        <w:tabs>
          <w:tab w:val="center" w:pos="4419"/>
          <w:tab w:val="right" w:pos="8838"/>
        </w:tabs>
        <w:spacing w:after="0" w:line="240" w:lineRule="auto"/>
        <w:rPr>
          <w:rFonts w:ascii="Segoe UI" w:hAnsi="Segoe UI" w:cs="Segoe UI"/>
          <w:color w:val="000000"/>
          <w:sz w:val="20"/>
          <w:szCs w:val="20"/>
          <w:shd w:val="clear" w:color="auto" w:fill="FFFFFF"/>
        </w:rPr>
      </w:pPr>
    </w:p>
    <w:p w:rsidR="004B4F7F" w:rsidRPr="002506E6" w:rsidRDefault="00823B74" w:rsidP="00823B74">
      <w:pPr>
        <w:tabs>
          <w:tab w:val="center" w:pos="4419"/>
          <w:tab w:val="right" w:pos="8838"/>
        </w:tabs>
        <w:spacing w:after="0" w:line="240" w:lineRule="auto"/>
        <w:rPr>
          <w:b/>
          <w:noProof/>
          <w:lang w:eastAsia="pt-BR"/>
        </w:rPr>
      </w:pPr>
      <w:r w:rsidRPr="002506E6">
        <w:rPr>
          <w:rFonts w:ascii="Segoe UI" w:hAnsi="Segoe UI" w:cs="Segoe UI"/>
          <w:b/>
          <w:color w:val="000000"/>
          <w:sz w:val="20"/>
          <w:szCs w:val="20"/>
          <w:shd w:val="clear" w:color="auto" w:fill="FFFFFF"/>
        </w:rPr>
        <w:t>Este texto não substitui o publicado no Diário Oficial.</w:t>
      </w:r>
    </w:p>
    <w:sectPr w:rsidR="004B4F7F" w:rsidRPr="002506E6" w:rsidSect="00A96694">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35" w:rsidRDefault="00B50235" w:rsidP="00C84746">
      <w:pPr>
        <w:spacing w:after="0" w:line="240" w:lineRule="auto"/>
      </w:pPr>
      <w:r>
        <w:separator/>
      </w:r>
    </w:p>
  </w:endnote>
  <w:endnote w:type="continuationSeparator" w:id="0">
    <w:p w:rsidR="00B50235" w:rsidRDefault="00B50235"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35" w:rsidRDefault="00B50235" w:rsidP="00C84746">
      <w:pPr>
        <w:spacing w:after="0" w:line="240" w:lineRule="auto"/>
      </w:pPr>
      <w:r>
        <w:separator/>
      </w:r>
    </w:p>
  </w:footnote>
  <w:footnote w:type="continuationSeparator" w:id="0">
    <w:p w:rsidR="00B50235" w:rsidRDefault="00B50235" w:rsidP="00C84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1034D0"/>
    <w:rsid w:val="00113498"/>
    <w:rsid w:val="001363BC"/>
    <w:rsid w:val="001576B2"/>
    <w:rsid w:val="0017191E"/>
    <w:rsid w:val="002028E5"/>
    <w:rsid w:val="002506E6"/>
    <w:rsid w:val="00253070"/>
    <w:rsid w:val="002D22CB"/>
    <w:rsid w:val="002D2A18"/>
    <w:rsid w:val="003407CE"/>
    <w:rsid w:val="00357DD8"/>
    <w:rsid w:val="0036611A"/>
    <w:rsid w:val="003A2372"/>
    <w:rsid w:val="003C21F8"/>
    <w:rsid w:val="0044051E"/>
    <w:rsid w:val="004553B0"/>
    <w:rsid w:val="00457407"/>
    <w:rsid w:val="004B4F7F"/>
    <w:rsid w:val="004B772A"/>
    <w:rsid w:val="004D3AD6"/>
    <w:rsid w:val="0057694E"/>
    <w:rsid w:val="006A2F9E"/>
    <w:rsid w:val="006D496F"/>
    <w:rsid w:val="00707195"/>
    <w:rsid w:val="00711C70"/>
    <w:rsid w:val="00736792"/>
    <w:rsid w:val="00823B74"/>
    <w:rsid w:val="00826A8E"/>
    <w:rsid w:val="008426CF"/>
    <w:rsid w:val="00863B8B"/>
    <w:rsid w:val="008E1401"/>
    <w:rsid w:val="009161A7"/>
    <w:rsid w:val="009307A1"/>
    <w:rsid w:val="00997239"/>
    <w:rsid w:val="009B235F"/>
    <w:rsid w:val="00A34F0E"/>
    <w:rsid w:val="00A96694"/>
    <w:rsid w:val="00B03647"/>
    <w:rsid w:val="00B03A51"/>
    <w:rsid w:val="00B4139F"/>
    <w:rsid w:val="00B50235"/>
    <w:rsid w:val="00BE1D40"/>
    <w:rsid w:val="00C01515"/>
    <w:rsid w:val="00C66E85"/>
    <w:rsid w:val="00C84746"/>
    <w:rsid w:val="00CB0E2D"/>
    <w:rsid w:val="00CB5400"/>
    <w:rsid w:val="00D24A71"/>
    <w:rsid w:val="00DA5371"/>
    <w:rsid w:val="00E03F1F"/>
    <w:rsid w:val="00E436F6"/>
    <w:rsid w:val="00E66894"/>
    <w:rsid w:val="00EF622D"/>
    <w:rsid w:val="00EF7979"/>
    <w:rsid w:val="00F176BE"/>
    <w:rsid w:val="00F43BA9"/>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 w:type="paragraph" w:styleId="NormalWeb">
    <w:name w:val="Normal (Web)"/>
    <w:basedOn w:val="Normal"/>
    <w:uiPriority w:val="99"/>
    <w:unhideWhenUsed/>
    <w:rsid w:val="00823B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23B74"/>
  </w:style>
  <w:style w:type="character" w:styleId="nfase">
    <w:name w:val="Emphasis"/>
    <w:basedOn w:val="Fontepargpadro"/>
    <w:uiPriority w:val="20"/>
    <w:qFormat/>
    <w:rsid w:val="00823B74"/>
    <w:rPr>
      <w:i/>
      <w:iCs/>
    </w:rPr>
  </w:style>
  <w:style w:type="numbering" w:customStyle="1" w:styleId="Semlista2">
    <w:name w:val="Sem lista2"/>
    <w:next w:val="Semlista"/>
    <w:uiPriority w:val="99"/>
    <w:semiHidden/>
    <w:unhideWhenUsed/>
    <w:rsid w:val="00BE1D40"/>
  </w:style>
  <w:style w:type="table" w:customStyle="1" w:styleId="Tabelacomgrade1">
    <w:name w:val="Tabela com grade1"/>
    <w:basedOn w:val="Tabelanormal"/>
    <w:next w:val="Tabelacomgrade"/>
    <w:uiPriority w:val="99"/>
    <w:rsid w:val="00BE1D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348">
      <w:bodyDiv w:val="1"/>
      <w:marLeft w:val="0"/>
      <w:marRight w:val="0"/>
      <w:marTop w:val="0"/>
      <w:marBottom w:val="0"/>
      <w:divBdr>
        <w:top w:val="none" w:sz="0" w:space="0" w:color="auto"/>
        <w:left w:val="none" w:sz="0" w:space="0" w:color="auto"/>
        <w:bottom w:val="none" w:sz="0" w:space="0" w:color="auto"/>
        <w:right w:val="none" w:sz="0" w:space="0" w:color="auto"/>
      </w:divBdr>
    </w:div>
    <w:div w:id="47458501">
      <w:bodyDiv w:val="1"/>
      <w:marLeft w:val="0"/>
      <w:marRight w:val="0"/>
      <w:marTop w:val="0"/>
      <w:marBottom w:val="0"/>
      <w:divBdr>
        <w:top w:val="none" w:sz="0" w:space="0" w:color="auto"/>
        <w:left w:val="none" w:sz="0" w:space="0" w:color="auto"/>
        <w:bottom w:val="none" w:sz="0" w:space="0" w:color="auto"/>
        <w:right w:val="none" w:sz="0" w:space="0" w:color="auto"/>
      </w:divBdr>
    </w:div>
    <w:div w:id="425616465">
      <w:bodyDiv w:val="1"/>
      <w:marLeft w:val="0"/>
      <w:marRight w:val="0"/>
      <w:marTop w:val="0"/>
      <w:marBottom w:val="0"/>
      <w:divBdr>
        <w:top w:val="none" w:sz="0" w:space="0" w:color="auto"/>
        <w:left w:val="none" w:sz="0" w:space="0" w:color="auto"/>
        <w:bottom w:val="none" w:sz="0" w:space="0" w:color="auto"/>
        <w:right w:val="none" w:sz="0" w:space="0" w:color="auto"/>
      </w:divBdr>
    </w:div>
    <w:div w:id="1027097477">
      <w:bodyDiv w:val="1"/>
      <w:marLeft w:val="0"/>
      <w:marRight w:val="0"/>
      <w:marTop w:val="0"/>
      <w:marBottom w:val="0"/>
      <w:divBdr>
        <w:top w:val="none" w:sz="0" w:space="0" w:color="auto"/>
        <w:left w:val="none" w:sz="0" w:space="0" w:color="auto"/>
        <w:bottom w:val="none" w:sz="0" w:space="0" w:color="auto"/>
        <w:right w:val="none" w:sz="0" w:space="0" w:color="auto"/>
      </w:divBdr>
    </w:div>
    <w:div w:id="1424490892">
      <w:bodyDiv w:val="1"/>
      <w:marLeft w:val="0"/>
      <w:marRight w:val="0"/>
      <w:marTop w:val="0"/>
      <w:marBottom w:val="0"/>
      <w:divBdr>
        <w:top w:val="none" w:sz="0" w:space="0" w:color="auto"/>
        <w:left w:val="none" w:sz="0" w:space="0" w:color="auto"/>
        <w:bottom w:val="none" w:sz="0" w:space="0" w:color="auto"/>
        <w:right w:val="none" w:sz="0" w:space="0" w:color="auto"/>
      </w:divBdr>
    </w:div>
    <w:div w:id="1471434997">
      <w:bodyDiv w:val="1"/>
      <w:marLeft w:val="0"/>
      <w:marRight w:val="0"/>
      <w:marTop w:val="0"/>
      <w:marBottom w:val="0"/>
      <w:divBdr>
        <w:top w:val="none" w:sz="0" w:space="0" w:color="auto"/>
        <w:left w:val="none" w:sz="0" w:space="0" w:color="auto"/>
        <w:bottom w:val="none" w:sz="0" w:space="0" w:color="auto"/>
        <w:right w:val="none" w:sz="0" w:space="0" w:color="auto"/>
      </w:divBdr>
    </w:div>
    <w:div w:id="1634871761">
      <w:bodyDiv w:val="1"/>
      <w:marLeft w:val="0"/>
      <w:marRight w:val="0"/>
      <w:marTop w:val="0"/>
      <w:marBottom w:val="0"/>
      <w:divBdr>
        <w:top w:val="none" w:sz="0" w:space="0" w:color="auto"/>
        <w:left w:val="none" w:sz="0" w:space="0" w:color="auto"/>
        <w:bottom w:val="none" w:sz="0" w:space="0" w:color="auto"/>
        <w:right w:val="none" w:sz="0" w:space="0" w:color="auto"/>
      </w:divBdr>
    </w:div>
    <w:div w:id="19765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10119</Words>
  <Characters>54643</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64633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Thais Ramos Salles</cp:lastModifiedBy>
  <cp:revision>5</cp:revision>
  <dcterms:created xsi:type="dcterms:W3CDTF">2018-03-23T12:52:00Z</dcterms:created>
  <dcterms:modified xsi:type="dcterms:W3CDTF">2018-03-23T12:58:00Z</dcterms:modified>
</cp:coreProperties>
</file>